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7A" w:rsidRDefault="0076227A">
      <w:bookmarkStart w:id="0" w:name="_GoBack"/>
      <w:bookmarkEnd w:id="0"/>
    </w:p>
    <w:p w:rsidR="00DA1416" w:rsidRPr="00DA1416" w:rsidRDefault="00DA1416" w:rsidP="00DA1416">
      <w:pPr>
        <w:spacing w:after="0" w:line="240" w:lineRule="auto"/>
        <w:rPr>
          <w:rFonts w:ascii="Arial" w:eastAsia="Calibri" w:hAnsi="Arial" w:cs="Arial"/>
          <w:sz w:val="32"/>
        </w:rPr>
      </w:pPr>
      <w:r w:rsidRPr="00DA1416">
        <w:rPr>
          <w:rFonts w:ascii="Arial" w:eastAsia="Calibri" w:hAnsi="Arial" w:cs="Arial"/>
          <w:b/>
        </w:rPr>
        <w:t>What is the Pupil Premium?</w:t>
      </w: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The Pupil Premium is additional funding for Reception children through to aged 16 that is allocated to schools and academies to help support socially disadvantaged pupils/students. Its purpose is to close the attainment gap between them and their peers.</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All members of staff and governors accept responsibility for socially disadvantaged pupils and are committed to meeting their pastoral, social and academic needs within a supportive environment. As with every child in our care, a child who is considered to be socially disadvantaged is valued, respected and entitled to develop his/her full potential, irrespective of need.</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The school has high numbers of pupils (37.</w:t>
      </w:r>
      <w:r w:rsidR="00C0078A">
        <w:rPr>
          <w:rFonts w:ascii="Arial" w:eastAsia="Calibri" w:hAnsi="Arial" w:cs="Arial"/>
        </w:rPr>
        <w:t>8</w:t>
      </w:r>
      <w:r w:rsidRPr="00DA1416">
        <w:rPr>
          <w:rFonts w:ascii="Arial" w:eastAsia="Calibri" w:hAnsi="Arial" w:cs="Arial"/>
        </w:rPr>
        <w:t xml:space="preserve">%), whilst monies are directed towards distinct interventions and work a significant amount of pupil premium is targeted at normal quality classroom work and learning support staffing. </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Background</w:t>
      </w: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The Pupil Premium targets extra funding for those from deprived backgrounds. Research shows these pupils underachieve compared to their peers. The premium is provided in order to support these more vulnerable groups of pupils to reach their potential.</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 xml:space="preserve">The Government have used pupils entitled to Free School Meals (FSM), children of service personnel and Children Looked After </w:t>
      </w:r>
      <w:r w:rsidRPr="00DA1416">
        <w:rPr>
          <w:rFonts w:ascii="Arial" w:eastAsia="Calibri" w:hAnsi="Arial" w:cs="Arial"/>
        </w:rPr>
        <w:lastRenderedPageBreak/>
        <w:t xml:space="preserve">(CLA) as an indicator for deprivation and have provided an additional fixed amount of money to schools per pupil to further support their education. </w:t>
      </w: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The Government have not dictated to schools how to spend this money, but are clear that schools need to employ strategies that they know will support these pupils to increase their attainment and narrow the gap.</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Responsibilities</w:t>
      </w: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We maintain an on-going programme of support and monitoring for pupil with Pupil Premium support. This programme will be subject to oversight from the Local Governing Body via the Pupil Premium Champion.</w:t>
      </w:r>
    </w:p>
    <w:p w:rsidR="00DA1416" w:rsidRPr="00DA1416" w:rsidRDefault="00DA1416" w:rsidP="00DA1416">
      <w:pPr>
        <w:spacing w:after="0" w:line="240" w:lineRule="auto"/>
        <w:jc w:val="both"/>
        <w:rPr>
          <w:rFonts w:ascii="Arial" w:eastAsia="Calibri" w:hAnsi="Arial" w:cs="Arial"/>
        </w:rPr>
      </w:pP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All staff have a responsibility in providing the best possible provision for pupils; in doing so they have a responsibility to monitor progress and adapt planning and teaching to ensure these pupils/students maximise their progress.  It should be noted that there is no substitute for wave 1 quality classroom teaching. The Sutton Trust research, and other research, clearly indicated the importance of in class provision and support. This research would indicate that disadvantaged pupils benefit greatly from the highest standards of teaching: equally they are disproportionally affected by poor quality teaching.</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Reporting</w:t>
      </w: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It will be the responsibility of the designated member of the Wider Leadership Team (Komilla Datta) to produce a report to senior staff and to Governors which includes:</w:t>
      </w:r>
    </w:p>
    <w:p w:rsidR="00DA1416" w:rsidRPr="00DA1416" w:rsidRDefault="00DA1416" w:rsidP="00DA1416">
      <w:pPr>
        <w:numPr>
          <w:ilvl w:val="0"/>
          <w:numId w:val="12"/>
        </w:numPr>
        <w:spacing w:after="0" w:line="240" w:lineRule="auto"/>
        <w:contextualSpacing/>
        <w:rPr>
          <w:rFonts w:ascii="Arial" w:eastAsia="Calibri" w:hAnsi="Arial" w:cs="Arial"/>
        </w:rPr>
      </w:pPr>
      <w:r w:rsidRPr="00DA1416">
        <w:rPr>
          <w:rFonts w:ascii="Arial" w:eastAsia="Calibri" w:hAnsi="Arial" w:cs="Arial"/>
        </w:rPr>
        <w:lastRenderedPageBreak/>
        <w:t>An outline of the provision in place to support pupil premium pupils/students</w:t>
      </w:r>
    </w:p>
    <w:p w:rsidR="00DA1416" w:rsidRPr="00DA1416" w:rsidRDefault="00DA1416" w:rsidP="00DA1416">
      <w:pPr>
        <w:numPr>
          <w:ilvl w:val="0"/>
          <w:numId w:val="12"/>
        </w:numPr>
        <w:spacing w:after="0" w:line="240" w:lineRule="auto"/>
        <w:contextualSpacing/>
        <w:rPr>
          <w:rFonts w:ascii="Arial" w:eastAsia="Calibri" w:hAnsi="Arial" w:cs="Arial"/>
        </w:rPr>
      </w:pPr>
      <w:r w:rsidRPr="00DA1416">
        <w:rPr>
          <w:rFonts w:ascii="Arial" w:eastAsia="Calibri" w:hAnsi="Arial" w:cs="Arial"/>
        </w:rPr>
        <w:t>The progress of pupils/students supported by pupil premium funding</w:t>
      </w:r>
    </w:p>
    <w:p w:rsidR="00DA1416" w:rsidRPr="00DA1416" w:rsidRDefault="00DA1416" w:rsidP="00DA1416">
      <w:pPr>
        <w:numPr>
          <w:ilvl w:val="0"/>
          <w:numId w:val="12"/>
        </w:numPr>
        <w:spacing w:after="0" w:line="240" w:lineRule="auto"/>
        <w:contextualSpacing/>
        <w:rPr>
          <w:rFonts w:ascii="Arial" w:eastAsia="Calibri" w:hAnsi="Arial" w:cs="Arial"/>
        </w:rPr>
      </w:pPr>
      <w:r w:rsidRPr="00DA1416">
        <w:rPr>
          <w:rFonts w:ascii="Arial" w:eastAsia="Calibri" w:hAnsi="Arial" w:cs="Arial"/>
        </w:rPr>
        <w:t>An evaluation of the programme including the impact of initiatives and personnel</w:t>
      </w:r>
    </w:p>
    <w:p w:rsidR="00DA1416" w:rsidRPr="00DA1416" w:rsidRDefault="00DA1416" w:rsidP="00DA1416">
      <w:pPr>
        <w:numPr>
          <w:ilvl w:val="0"/>
          <w:numId w:val="12"/>
        </w:numPr>
        <w:spacing w:after="0" w:line="240" w:lineRule="auto"/>
        <w:contextualSpacing/>
        <w:rPr>
          <w:rFonts w:ascii="Arial" w:eastAsia="Calibri" w:hAnsi="Arial" w:cs="Arial"/>
        </w:rPr>
      </w:pPr>
      <w:r w:rsidRPr="00DA1416">
        <w:rPr>
          <w:rFonts w:ascii="Arial" w:eastAsia="Calibri" w:hAnsi="Arial" w:cs="Arial"/>
        </w:rPr>
        <w:t>A plan for the academic year that links funding to interventions</w:t>
      </w: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 xml:space="preserve">The Local Governing Body will ensure that the web site includes reference to pupil premium spending and outcomes. </w:t>
      </w:r>
    </w:p>
    <w:p w:rsidR="00DA1416" w:rsidRPr="00DA1416" w:rsidRDefault="00DA1416" w:rsidP="00DA1416">
      <w:pPr>
        <w:spacing w:after="0" w:line="240" w:lineRule="auto"/>
        <w:rPr>
          <w:rFonts w:ascii="Arial" w:eastAsia="Calibri" w:hAnsi="Arial" w:cs="Arial"/>
          <w:b/>
        </w:rPr>
      </w:pPr>
    </w:p>
    <w:p w:rsidR="00DA1416" w:rsidRPr="00DA1416" w:rsidRDefault="00DA1416" w:rsidP="00DA1416">
      <w:pPr>
        <w:spacing w:after="0" w:line="240" w:lineRule="auto"/>
        <w:rPr>
          <w:rFonts w:ascii="Arial" w:eastAsia="Calibri" w:hAnsi="Arial" w:cs="Arial"/>
        </w:rPr>
      </w:pPr>
      <w:r w:rsidRPr="00DA1416">
        <w:rPr>
          <w:rFonts w:ascii="Arial" w:eastAsia="Calibri" w:hAnsi="Arial" w:cs="Arial"/>
          <w:b/>
        </w:rPr>
        <w:t xml:space="preserve">Barriers to Learning  </w:t>
      </w: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We have identified a number of barriers to learning which need to be overcome in order for all children and pupils to make progress and succeed.</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Since pupil premium funds became available the school has strategically targeted our pupils for enhanced intervention and resources in order to overcome key weakness in:</w:t>
      </w:r>
      <w:r w:rsidRPr="00DA1416">
        <w:rPr>
          <w:rFonts w:ascii="Arial" w:eastAsia="Calibri" w:hAnsi="Arial" w:cs="Arial"/>
        </w:rPr>
        <w:br/>
      </w:r>
    </w:p>
    <w:p w:rsidR="00DA1416" w:rsidRPr="00DA1416" w:rsidRDefault="00DA1416" w:rsidP="00DA1416">
      <w:pPr>
        <w:numPr>
          <w:ilvl w:val="0"/>
          <w:numId w:val="13"/>
        </w:numPr>
        <w:spacing w:after="0" w:line="240" w:lineRule="auto"/>
        <w:contextualSpacing/>
        <w:rPr>
          <w:rFonts w:ascii="Arial" w:eastAsia="Calibri" w:hAnsi="Arial" w:cs="Arial"/>
        </w:rPr>
      </w:pPr>
      <w:r w:rsidRPr="00DA1416">
        <w:rPr>
          <w:rFonts w:ascii="Arial" w:eastAsia="Calibri" w:hAnsi="Arial" w:cs="Arial"/>
        </w:rPr>
        <w:t>Speech and language development</w:t>
      </w:r>
    </w:p>
    <w:p w:rsidR="00DA1416" w:rsidRPr="00DA1416" w:rsidRDefault="00DA1416" w:rsidP="00DA1416">
      <w:pPr>
        <w:numPr>
          <w:ilvl w:val="0"/>
          <w:numId w:val="13"/>
        </w:numPr>
        <w:spacing w:after="0" w:line="240" w:lineRule="auto"/>
        <w:contextualSpacing/>
        <w:rPr>
          <w:rFonts w:ascii="Arial" w:eastAsia="Calibri" w:hAnsi="Arial" w:cs="Arial"/>
        </w:rPr>
      </w:pPr>
      <w:r w:rsidRPr="00DA1416">
        <w:rPr>
          <w:rFonts w:ascii="Arial" w:eastAsia="Calibri" w:hAnsi="Arial" w:cs="Arial"/>
        </w:rPr>
        <w:t xml:space="preserve">Emotional and behavioural development </w:t>
      </w:r>
    </w:p>
    <w:p w:rsidR="00DA1416" w:rsidRPr="00DA1416" w:rsidRDefault="00DA1416" w:rsidP="00DA1416">
      <w:pPr>
        <w:numPr>
          <w:ilvl w:val="0"/>
          <w:numId w:val="13"/>
        </w:numPr>
        <w:spacing w:after="0" w:line="240" w:lineRule="auto"/>
        <w:contextualSpacing/>
        <w:rPr>
          <w:rFonts w:ascii="Arial" w:eastAsia="Calibri" w:hAnsi="Arial" w:cs="Arial"/>
        </w:rPr>
      </w:pPr>
      <w:r w:rsidRPr="00DA1416">
        <w:rPr>
          <w:rFonts w:ascii="Arial" w:eastAsia="Calibri" w:hAnsi="Arial" w:cs="Arial"/>
        </w:rPr>
        <w:t>Low prior attainment on entry to reception</w:t>
      </w:r>
    </w:p>
    <w:p w:rsidR="00DA1416" w:rsidRPr="00DA1416" w:rsidRDefault="00DA1416" w:rsidP="00DA1416">
      <w:pPr>
        <w:numPr>
          <w:ilvl w:val="0"/>
          <w:numId w:val="13"/>
        </w:numPr>
        <w:spacing w:after="0" w:line="240" w:lineRule="auto"/>
        <w:contextualSpacing/>
        <w:rPr>
          <w:rFonts w:ascii="Arial" w:eastAsia="Calibri" w:hAnsi="Arial" w:cs="Arial"/>
        </w:rPr>
      </w:pPr>
      <w:r w:rsidRPr="00DA1416">
        <w:rPr>
          <w:rFonts w:ascii="Arial" w:eastAsia="Calibri" w:hAnsi="Arial" w:cs="Arial"/>
        </w:rPr>
        <w:t>Maths</w:t>
      </w:r>
    </w:p>
    <w:p w:rsidR="00DA1416" w:rsidRPr="00DA1416" w:rsidRDefault="00DA1416" w:rsidP="00DA1416">
      <w:pPr>
        <w:numPr>
          <w:ilvl w:val="0"/>
          <w:numId w:val="13"/>
        </w:numPr>
        <w:spacing w:after="0" w:line="240" w:lineRule="auto"/>
        <w:contextualSpacing/>
        <w:rPr>
          <w:rFonts w:ascii="Arial" w:eastAsia="Calibri" w:hAnsi="Arial" w:cs="Arial"/>
        </w:rPr>
      </w:pPr>
      <w:r w:rsidRPr="00DA1416">
        <w:rPr>
          <w:rFonts w:ascii="Arial" w:eastAsia="Calibri" w:hAnsi="Arial" w:cs="Arial"/>
        </w:rPr>
        <w:t>Reading (including phonics)</w:t>
      </w:r>
    </w:p>
    <w:p w:rsidR="00DA1416" w:rsidRPr="00DA1416" w:rsidRDefault="00DA1416" w:rsidP="00DA1416">
      <w:pPr>
        <w:numPr>
          <w:ilvl w:val="0"/>
          <w:numId w:val="13"/>
        </w:numPr>
        <w:spacing w:after="0" w:line="240" w:lineRule="auto"/>
        <w:contextualSpacing/>
        <w:rPr>
          <w:rFonts w:ascii="Arial" w:eastAsia="Calibri" w:hAnsi="Arial" w:cs="Arial"/>
        </w:rPr>
      </w:pPr>
      <w:r w:rsidRPr="00DA1416">
        <w:rPr>
          <w:rFonts w:ascii="Arial" w:eastAsia="Calibri" w:hAnsi="Arial" w:cs="Arial"/>
        </w:rPr>
        <w:t xml:space="preserve">Attendance and punctuality </w:t>
      </w:r>
    </w:p>
    <w:p w:rsidR="00DA1416" w:rsidRPr="00DA1416" w:rsidRDefault="00DA1416" w:rsidP="00DA1416">
      <w:pPr>
        <w:numPr>
          <w:ilvl w:val="0"/>
          <w:numId w:val="13"/>
        </w:numPr>
        <w:spacing w:after="0" w:line="240" w:lineRule="auto"/>
        <w:contextualSpacing/>
        <w:rPr>
          <w:rFonts w:ascii="Arial" w:eastAsia="Calibri" w:hAnsi="Arial" w:cs="Arial"/>
        </w:rPr>
      </w:pPr>
      <w:r w:rsidRPr="00DA1416">
        <w:rPr>
          <w:rFonts w:ascii="Arial" w:eastAsia="Calibri" w:hAnsi="Arial" w:cs="Arial"/>
        </w:rPr>
        <w:t xml:space="preserve">Parental engagement </w:t>
      </w:r>
    </w:p>
    <w:p w:rsidR="00DA1416" w:rsidRPr="00DA1416" w:rsidRDefault="00DA1416" w:rsidP="00DA1416">
      <w:pPr>
        <w:numPr>
          <w:ilvl w:val="0"/>
          <w:numId w:val="13"/>
        </w:numPr>
        <w:spacing w:after="0" w:line="240" w:lineRule="auto"/>
        <w:contextualSpacing/>
        <w:rPr>
          <w:rFonts w:ascii="Arial" w:eastAsia="Calibri" w:hAnsi="Arial" w:cs="Arial"/>
        </w:rPr>
      </w:pPr>
      <w:r w:rsidRPr="00DA1416">
        <w:rPr>
          <w:rFonts w:ascii="Arial" w:eastAsia="Calibri" w:hAnsi="Arial" w:cs="Arial"/>
        </w:rPr>
        <w:lastRenderedPageBreak/>
        <w:t>Special Educational Needs (SEN) – a high proportion of pupil premium children are also identified as SEN</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 xml:space="preserve">In addition to intervening academically we continue to provide therapeutic support where necessary as many of our children who receive pupil premium funding can be subject to experiences that are traumatic and destabilising. </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 xml:space="preserve">Educational Research </w:t>
      </w: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Research conducted by the Educational Endowment Foundation and Sutton Trust indicates the average impact (in months) on academic progress of effective practice. The school is conscious of this practice based research and takes notice of it when identifying appropriate and cost effective actions.</w:t>
      </w:r>
    </w:p>
    <w:p w:rsidR="00DA1416" w:rsidRPr="00DA1416" w:rsidRDefault="00DA1416" w:rsidP="00DA1416">
      <w:pPr>
        <w:spacing w:after="0" w:line="240" w:lineRule="auto"/>
        <w:rPr>
          <w:rFonts w:ascii="Arial" w:eastAsia="Calibri" w:hAnsi="Arial" w:cs="Arial"/>
        </w:rPr>
      </w:pPr>
      <w:r w:rsidRPr="00DA1416">
        <w:rPr>
          <w:rFonts w:ascii="Arial" w:eastAsia="Calibri" w:hAnsi="Arial" w:cs="Arial"/>
        </w:rPr>
        <w:t>Key areas for the school and which resource is allocated include:</w:t>
      </w:r>
    </w:p>
    <w:p w:rsidR="00DA1416" w:rsidRPr="00DA1416" w:rsidRDefault="00DA1416" w:rsidP="00DA1416">
      <w:pPr>
        <w:spacing w:after="0" w:line="240" w:lineRule="auto"/>
        <w:rPr>
          <w:rFonts w:ascii="Arial" w:eastAsia="Calibri" w:hAnsi="Arial" w:cs="Arial"/>
        </w:rPr>
      </w:pPr>
    </w:p>
    <w:tbl>
      <w:tblPr>
        <w:tblStyle w:val="TableGrid1"/>
        <w:tblW w:w="0" w:type="auto"/>
        <w:tblLook w:val="04A0" w:firstRow="1" w:lastRow="0" w:firstColumn="1" w:lastColumn="0" w:noHBand="0" w:noVBand="1"/>
      </w:tblPr>
      <w:tblGrid>
        <w:gridCol w:w="3080"/>
        <w:gridCol w:w="3081"/>
        <w:gridCol w:w="3081"/>
      </w:tblGrid>
      <w:tr w:rsidR="00DA1416" w:rsidRPr="00DA1416" w:rsidTr="00DA48DE">
        <w:tc>
          <w:tcPr>
            <w:tcW w:w="3024" w:type="dxa"/>
          </w:tcPr>
          <w:p w:rsidR="00DA1416" w:rsidRPr="00DA1416" w:rsidRDefault="00DA1416" w:rsidP="00DA1416">
            <w:pPr>
              <w:rPr>
                <w:rFonts w:ascii="Arial" w:eastAsia="Calibri" w:hAnsi="Arial" w:cs="Arial"/>
                <w:b/>
              </w:rPr>
            </w:pPr>
            <w:r w:rsidRPr="00DA1416">
              <w:rPr>
                <w:rFonts w:ascii="Arial" w:eastAsia="Calibri" w:hAnsi="Arial" w:cs="Arial"/>
                <w:b/>
              </w:rPr>
              <w:t>Strategy</w:t>
            </w:r>
          </w:p>
        </w:tc>
        <w:tc>
          <w:tcPr>
            <w:tcW w:w="3000" w:type="dxa"/>
          </w:tcPr>
          <w:p w:rsidR="00DA1416" w:rsidRPr="00DA1416" w:rsidRDefault="00DA1416" w:rsidP="00DA1416">
            <w:pPr>
              <w:rPr>
                <w:rFonts w:ascii="Arial" w:eastAsia="Calibri" w:hAnsi="Arial" w:cs="Arial"/>
                <w:b/>
              </w:rPr>
            </w:pPr>
            <w:r w:rsidRPr="00DA1416">
              <w:rPr>
                <w:rFonts w:ascii="Arial" w:eastAsia="Calibri" w:hAnsi="Arial" w:cs="Arial"/>
                <w:b/>
              </w:rPr>
              <w:t>Cost</w:t>
            </w:r>
          </w:p>
        </w:tc>
        <w:tc>
          <w:tcPr>
            <w:tcW w:w="2992" w:type="dxa"/>
          </w:tcPr>
          <w:p w:rsidR="00DA1416" w:rsidRPr="00DA1416" w:rsidRDefault="00DA1416" w:rsidP="00DA1416">
            <w:pPr>
              <w:rPr>
                <w:rFonts w:ascii="Arial" w:eastAsia="Calibri" w:hAnsi="Arial" w:cs="Arial"/>
                <w:b/>
              </w:rPr>
            </w:pPr>
            <w:r w:rsidRPr="00DA1416">
              <w:rPr>
                <w:rFonts w:ascii="Arial" w:eastAsia="Calibri" w:hAnsi="Arial" w:cs="Arial"/>
                <w:b/>
              </w:rPr>
              <w:t>Impact</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Behaviour interventions</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 xml:space="preserve">Midrange cost </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4 months</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Collaborative learning</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Low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5 months</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Early Years Intervention</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High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6 months</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Quality feedback by teachers</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Low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8 months</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Understanding how to learn</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Low to mid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9 months</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1 to 1 tuition</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High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5 months</w:t>
            </w:r>
          </w:p>
        </w:tc>
      </w:tr>
      <w:tr w:rsidR="00DA1416" w:rsidRPr="00DA1416" w:rsidTr="00DA48DE">
        <w:tc>
          <w:tcPr>
            <w:tcW w:w="3080" w:type="dxa"/>
          </w:tcPr>
          <w:p w:rsidR="00DA1416" w:rsidRPr="00DA1416" w:rsidRDefault="00DA1416" w:rsidP="00DA1416">
            <w:pPr>
              <w:rPr>
                <w:rFonts w:ascii="Arial" w:eastAsia="Calibri" w:hAnsi="Arial" w:cs="Arial"/>
                <w:b/>
              </w:rPr>
            </w:pPr>
            <w:r w:rsidRPr="00DA1416">
              <w:rPr>
                <w:rFonts w:ascii="Arial" w:eastAsia="Calibri" w:hAnsi="Arial" w:cs="Arial"/>
                <w:b/>
              </w:rPr>
              <w:t>Strategy</w:t>
            </w:r>
          </w:p>
        </w:tc>
        <w:tc>
          <w:tcPr>
            <w:tcW w:w="3081" w:type="dxa"/>
          </w:tcPr>
          <w:p w:rsidR="00DA1416" w:rsidRPr="00DA1416" w:rsidRDefault="00DA1416" w:rsidP="00DA1416">
            <w:pPr>
              <w:rPr>
                <w:rFonts w:ascii="Arial" w:eastAsia="Calibri" w:hAnsi="Arial" w:cs="Arial"/>
                <w:b/>
              </w:rPr>
            </w:pPr>
            <w:r w:rsidRPr="00DA1416">
              <w:rPr>
                <w:rFonts w:ascii="Arial" w:eastAsia="Calibri" w:hAnsi="Arial" w:cs="Arial"/>
                <w:b/>
              </w:rPr>
              <w:t>Cost</w:t>
            </w:r>
          </w:p>
        </w:tc>
        <w:tc>
          <w:tcPr>
            <w:tcW w:w="3081" w:type="dxa"/>
          </w:tcPr>
          <w:p w:rsidR="00DA1416" w:rsidRPr="00DA1416" w:rsidRDefault="00DA1416" w:rsidP="00DA1416">
            <w:pPr>
              <w:rPr>
                <w:rFonts w:ascii="Arial" w:eastAsia="Calibri" w:hAnsi="Arial" w:cs="Arial"/>
                <w:b/>
              </w:rPr>
            </w:pPr>
            <w:r w:rsidRPr="00DA1416">
              <w:rPr>
                <w:rFonts w:ascii="Arial" w:eastAsia="Calibri" w:hAnsi="Arial" w:cs="Arial"/>
                <w:b/>
              </w:rPr>
              <w:t>Impact</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Speech &amp; Language intervention</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Low to mid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5 months</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Outdoor learning</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Mid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3 months</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Phonics</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Low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5 months</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Small group tuition</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Mid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4 months</w:t>
            </w:r>
          </w:p>
        </w:tc>
      </w:tr>
      <w:tr w:rsidR="00DA1416" w:rsidRPr="00DA1416" w:rsidTr="00DA48DE">
        <w:tc>
          <w:tcPr>
            <w:tcW w:w="3080" w:type="dxa"/>
          </w:tcPr>
          <w:p w:rsidR="00DA1416" w:rsidRPr="00DA1416" w:rsidRDefault="00DA1416" w:rsidP="00DA1416">
            <w:pPr>
              <w:rPr>
                <w:rFonts w:ascii="Arial" w:eastAsia="Calibri" w:hAnsi="Arial" w:cs="Arial"/>
              </w:rPr>
            </w:pPr>
            <w:r w:rsidRPr="00DA1416">
              <w:rPr>
                <w:rFonts w:ascii="Arial" w:eastAsia="Calibri" w:hAnsi="Arial" w:cs="Arial"/>
              </w:rPr>
              <w:t>Reading comprehension strategies</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Low cost</w:t>
            </w:r>
          </w:p>
        </w:tc>
        <w:tc>
          <w:tcPr>
            <w:tcW w:w="3081" w:type="dxa"/>
          </w:tcPr>
          <w:p w:rsidR="00DA1416" w:rsidRPr="00DA1416" w:rsidRDefault="00DA1416" w:rsidP="00DA1416">
            <w:pPr>
              <w:rPr>
                <w:rFonts w:ascii="Arial" w:eastAsia="Calibri" w:hAnsi="Arial" w:cs="Arial"/>
              </w:rPr>
            </w:pPr>
            <w:r w:rsidRPr="00DA1416">
              <w:rPr>
                <w:rFonts w:ascii="Arial" w:eastAsia="Calibri" w:hAnsi="Arial" w:cs="Arial"/>
              </w:rPr>
              <w:t>5 months</w:t>
            </w:r>
          </w:p>
        </w:tc>
      </w:tr>
    </w:tbl>
    <w:p w:rsidR="00DA1416" w:rsidRPr="00DA1416" w:rsidRDefault="00DA1416" w:rsidP="00DA1416">
      <w:pPr>
        <w:spacing w:after="0" w:line="240" w:lineRule="auto"/>
        <w:rPr>
          <w:rFonts w:ascii="Arial" w:eastAsia="Calibri" w:hAnsi="Arial" w:cs="Arial"/>
          <w:b/>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br w:type="page"/>
      </w:r>
      <w:r w:rsidRPr="00DA1416">
        <w:rPr>
          <w:rFonts w:ascii="Arial" w:eastAsia="Calibri" w:hAnsi="Arial" w:cs="Arial"/>
          <w:b/>
        </w:rPr>
        <w:lastRenderedPageBreak/>
        <w:t>An outline of the provision in place for disadvantaged pupils 2017/18</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Leadership</w:t>
      </w:r>
    </w:p>
    <w:p w:rsidR="00DA1416" w:rsidRPr="00DA1416" w:rsidRDefault="00DA1416" w:rsidP="00DA1416">
      <w:pPr>
        <w:spacing w:after="0" w:line="240" w:lineRule="auto"/>
        <w:rPr>
          <w:rFonts w:ascii="Arial" w:eastAsia="Calibri" w:hAnsi="Arial" w:cs="Arial"/>
          <w:b/>
        </w:rPr>
      </w:pPr>
    </w:p>
    <w:p w:rsidR="00DA1416" w:rsidRPr="00DA1416" w:rsidRDefault="00DA1416" w:rsidP="00DA1416">
      <w:pPr>
        <w:numPr>
          <w:ilvl w:val="0"/>
          <w:numId w:val="14"/>
        </w:numPr>
        <w:spacing w:after="0" w:line="240" w:lineRule="auto"/>
        <w:contextualSpacing/>
        <w:rPr>
          <w:rFonts w:ascii="Arial" w:eastAsia="Calibri" w:hAnsi="Arial" w:cs="Arial"/>
        </w:rPr>
      </w:pPr>
      <w:r w:rsidRPr="00DA1416">
        <w:rPr>
          <w:rFonts w:ascii="Arial" w:eastAsia="Calibri" w:hAnsi="Arial" w:cs="Arial"/>
        </w:rPr>
        <w:t>The Leadership team has a responsibility for tracking PP interventions and in ensuring all senior staff are fully aware of school wide actions and strategies for supporting PP pupils.</w:t>
      </w:r>
    </w:p>
    <w:p w:rsidR="00DA1416" w:rsidRPr="00DA1416" w:rsidRDefault="00DA1416" w:rsidP="00DA1416">
      <w:pPr>
        <w:numPr>
          <w:ilvl w:val="0"/>
          <w:numId w:val="14"/>
        </w:numPr>
        <w:spacing w:after="0" w:line="240" w:lineRule="auto"/>
        <w:contextualSpacing/>
        <w:rPr>
          <w:rFonts w:ascii="Arial" w:eastAsia="Calibri" w:hAnsi="Arial" w:cs="Arial"/>
        </w:rPr>
      </w:pPr>
      <w:r w:rsidRPr="00DA1416">
        <w:rPr>
          <w:rFonts w:ascii="Arial" w:eastAsia="Calibri" w:hAnsi="Arial" w:cs="Arial"/>
        </w:rPr>
        <w:t>The Local Governing Body has identified a PP Champion to link directly with senior staff in relation to PP funding, interventions and impact.</w:t>
      </w:r>
    </w:p>
    <w:p w:rsidR="00DA1416" w:rsidRPr="00DA1416" w:rsidRDefault="00DA1416" w:rsidP="00DA1416">
      <w:pPr>
        <w:numPr>
          <w:ilvl w:val="0"/>
          <w:numId w:val="14"/>
        </w:numPr>
        <w:spacing w:after="0" w:line="240" w:lineRule="auto"/>
        <w:contextualSpacing/>
        <w:rPr>
          <w:rFonts w:ascii="Arial" w:eastAsia="Calibri" w:hAnsi="Arial" w:cs="Arial"/>
        </w:rPr>
      </w:pPr>
      <w:r w:rsidRPr="00DA1416">
        <w:rPr>
          <w:rFonts w:ascii="Arial" w:eastAsia="Calibri" w:hAnsi="Arial" w:cs="Arial"/>
        </w:rPr>
        <w:t>All middle leaders are made aware of their responsibilities to track, monitor and support PP pupils.</w:t>
      </w:r>
    </w:p>
    <w:p w:rsidR="00DA1416" w:rsidRPr="00DA1416" w:rsidRDefault="00DA1416" w:rsidP="00DA1416">
      <w:pPr>
        <w:numPr>
          <w:ilvl w:val="0"/>
          <w:numId w:val="14"/>
        </w:numPr>
        <w:spacing w:after="0" w:line="240" w:lineRule="auto"/>
        <w:contextualSpacing/>
        <w:rPr>
          <w:rFonts w:ascii="Arial" w:eastAsia="Calibri" w:hAnsi="Arial" w:cs="Arial"/>
        </w:rPr>
      </w:pPr>
      <w:r w:rsidRPr="00DA1416">
        <w:rPr>
          <w:rFonts w:ascii="Arial" w:eastAsia="Calibri" w:hAnsi="Arial" w:cs="Arial"/>
        </w:rPr>
        <w:t>Each year group has an identified Pupil Premium Champion.</w:t>
      </w:r>
    </w:p>
    <w:p w:rsidR="00DA1416" w:rsidRPr="00DA1416" w:rsidRDefault="00DA1416" w:rsidP="00DA1416">
      <w:pPr>
        <w:numPr>
          <w:ilvl w:val="0"/>
          <w:numId w:val="14"/>
        </w:numPr>
        <w:spacing w:after="0" w:line="240" w:lineRule="auto"/>
        <w:contextualSpacing/>
        <w:rPr>
          <w:rFonts w:ascii="Arial" w:eastAsia="Calibri" w:hAnsi="Arial" w:cs="Arial"/>
        </w:rPr>
      </w:pPr>
      <w:r w:rsidRPr="00DA1416">
        <w:rPr>
          <w:rFonts w:ascii="Arial" w:eastAsia="Calibri" w:hAnsi="Arial" w:cs="Arial"/>
        </w:rPr>
        <w:t>All Teachers are required to use our information management systems to track the progress of PP children and to ensure that they plan lessons to support these pupils.</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Behaviour and inclusion</w:t>
      </w:r>
    </w:p>
    <w:p w:rsidR="00DA1416" w:rsidRPr="00DA1416" w:rsidRDefault="00DA1416" w:rsidP="00DA1416">
      <w:pPr>
        <w:spacing w:after="0" w:line="240" w:lineRule="auto"/>
        <w:rPr>
          <w:rFonts w:ascii="Arial" w:eastAsia="Calibri" w:hAnsi="Arial" w:cs="Arial"/>
          <w:b/>
        </w:rPr>
      </w:pPr>
    </w:p>
    <w:p w:rsidR="00DA1416" w:rsidRPr="00DA1416" w:rsidRDefault="00DA1416" w:rsidP="00DA1416">
      <w:pPr>
        <w:numPr>
          <w:ilvl w:val="0"/>
          <w:numId w:val="15"/>
        </w:numPr>
        <w:spacing w:after="0" w:line="240" w:lineRule="auto"/>
        <w:contextualSpacing/>
        <w:rPr>
          <w:rFonts w:ascii="Arial" w:eastAsia="Calibri" w:hAnsi="Arial" w:cs="Arial"/>
        </w:rPr>
      </w:pPr>
      <w:r w:rsidRPr="00DA1416">
        <w:rPr>
          <w:rFonts w:ascii="Arial" w:eastAsia="Calibri" w:hAnsi="Arial" w:cs="Arial"/>
        </w:rPr>
        <w:t>Pupils with poor attendance will be supported by the attendance team.</w:t>
      </w:r>
    </w:p>
    <w:p w:rsidR="00DA1416" w:rsidRPr="00DA1416" w:rsidRDefault="00DA1416" w:rsidP="00DA1416">
      <w:pPr>
        <w:numPr>
          <w:ilvl w:val="0"/>
          <w:numId w:val="15"/>
        </w:numPr>
        <w:spacing w:after="0" w:line="240" w:lineRule="auto"/>
        <w:contextualSpacing/>
        <w:rPr>
          <w:rFonts w:ascii="Arial" w:eastAsia="Calibri" w:hAnsi="Arial" w:cs="Arial"/>
        </w:rPr>
      </w:pPr>
      <w:r w:rsidRPr="00DA1416">
        <w:rPr>
          <w:rFonts w:ascii="Arial" w:eastAsia="Calibri" w:hAnsi="Arial" w:cs="Arial"/>
        </w:rPr>
        <w:t>Sol Attendance</w:t>
      </w:r>
    </w:p>
    <w:p w:rsidR="00DA1416" w:rsidRPr="00DA1416" w:rsidRDefault="00DA1416" w:rsidP="00DA1416">
      <w:pPr>
        <w:numPr>
          <w:ilvl w:val="0"/>
          <w:numId w:val="15"/>
        </w:numPr>
        <w:spacing w:after="0" w:line="240" w:lineRule="auto"/>
        <w:contextualSpacing/>
        <w:rPr>
          <w:rFonts w:ascii="Arial" w:eastAsia="Calibri" w:hAnsi="Arial" w:cs="Arial"/>
        </w:rPr>
      </w:pPr>
      <w:r w:rsidRPr="00DA1416">
        <w:rPr>
          <w:rFonts w:ascii="Arial" w:eastAsia="Calibri" w:hAnsi="Arial" w:cs="Arial"/>
        </w:rPr>
        <w:t>The pastoral staff will support vulnerable learners and their parents.</w:t>
      </w:r>
    </w:p>
    <w:p w:rsidR="00DA1416" w:rsidRPr="00DA1416" w:rsidRDefault="00DA1416" w:rsidP="00DA1416">
      <w:pPr>
        <w:spacing w:after="0" w:line="240" w:lineRule="auto"/>
        <w:rPr>
          <w:rFonts w:ascii="Arial" w:eastAsia="Calibri" w:hAnsi="Arial" w:cs="Arial"/>
          <w:b/>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Speech and Language support</w:t>
      </w:r>
    </w:p>
    <w:p w:rsidR="00DA1416" w:rsidRPr="00DA1416" w:rsidRDefault="00DA1416" w:rsidP="00DA1416">
      <w:pPr>
        <w:spacing w:after="0" w:line="240" w:lineRule="auto"/>
        <w:rPr>
          <w:rFonts w:ascii="Arial" w:eastAsia="Calibri" w:hAnsi="Arial" w:cs="Arial"/>
          <w:b/>
        </w:rPr>
      </w:pPr>
    </w:p>
    <w:p w:rsidR="00DA1416" w:rsidRPr="00DA1416" w:rsidRDefault="00DA1416" w:rsidP="00DA1416">
      <w:pPr>
        <w:numPr>
          <w:ilvl w:val="0"/>
          <w:numId w:val="16"/>
        </w:numPr>
        <w:spacing w:after="0" w:line="240" w:lineRule="auto"/>
        <w:contextualSpacing/>
        <w:rPr>
          <w:rFonts w:ascii="Arial" w:eastAsia="Calibri" w:hAnsi="Arial" w:cs="Arial"/>
        </w:rPr>
      </w:pPr>
      <w:r w:rsidRPr="00DA1416">
        <w:rPr>
          <w:rFonts w:ascii="Arial" w:eastAsia="Calibri" w:hAnsi="Arial" w:cs="Arial"/>
        </w:rPr>
        <w:t>S &amp; L therapy support 2 days per week</w:t>
      </w:r>
    </w:p>
    <w:p w:rsidR="00DA1416" w:rsidRPr="00DA1416" w:rsidRDefault="00DA1416" w:rsidP="00DA1416">
      <w:pPr>
        <w:numPr>
          <w:ilvl w:val="0"/>
          <w:numId w:val="16"/>
        </w:numPr>
        <w:spacing w:after="0" w:line="240" w:lineRule="auto"/>
        <w:contextualSpacing/>
        <w:rPr>
          <w:rFonts w:ascii="Arial" w:eastAsia="Calibri" w:hAnsi="Arial" w:cs="Arial"/>
        </w:rPr>
      </w:pPr>
      <w:r w:rsidRPr="00DA1416">
        <w:rPr>
          <w:rFonts w:ascii="Arial" w:eastAsia="Calibri" w:hAnsi="Arial" w:cs="Arial"/>
        </w:rPr>
        <w:t>Use of the speechlink program in KS 1 and 2</w:t>
      </w:r>
    </w:p>
    <w:p w:rsidR="00DA1416" w:rsidRPr="00DA1416" w:rsidRDefault="00DA1416" w:rsidP="00DA1416">
      <w:pPr>
        <w:numPr>
          <w:ilvl w:val="0"/>
          <w:numId w:val="16"/>
        </w:numPr>
        <w:spacing w:after="0" w:line="240" w:lineRule="auto"/>
        <w:contextualSpacing/>
        <w:rPr>
          <w:rFonts w:ascii="Arial" w:eastAsia="Calibri" w:hAnsi="Arial" w:cs="Arial"/>
        </w:rPr>
      </w:pPr>
      <w:r w:rsidRPr="00DA1416">
        <w:rPr>
          <w:rFonts w:ascii="Arial" w:eastAsia="Calibri" w:hAnsi="Arial" w:cs="Arial"/>
        </w:rPr>
        <w:lastRenderedPageBreak/>
        <w:t>Small group speech and language programmes</w:t>
      </w:r>
    </w:p>
    <w:p w:rsidR="00DA1416" w:rsidRPr="00DA1416" w:rsidRDefault="00DA1416" w:rsidP="00DA1416">
      <w:pPr>
        <w:numPr>
          <w:ilvl w:val="0"/>
          <w:numId w:val="16"/>
        </w:numPr>
        <w:spacing w:after="0" w:line="240" w:lineRule="auto"/>
        <w:contextualSpacing/>
        <w:rPr>
          <w:rFonts w:ascii="Arial" w:eastAsia="Calibri" w:hAnsi="Arial" w:cs="Arial"/>
        </w:rPr>
      </w:pPr>
      <w:r w:rsidRPr="00DA1416">
        <w:rPr>
          <w:rFonts w:ascii="Arial" w:eastAsia="Calibri" w:hAnsi="Arial" w:cs="Arial"/>
        </w:rPr>
        <w:t xml:space="preserve">Additional phonics support in place for Years R /1/2/3 </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Therapeutic support</w:t>
      </w:r>
    </w:p>
    <w:p w:rsidR="00DA1416" w:rsidRPr="00DA1416" w:rsidRDefault="00DA1416" w:rsidP="00DA1416">
      <w:pPr>
        <w:spacing w:after="0" w:line="240" w:lineRule="auto"/>
        <w:rPr>
          <w:rFonts w:ascii="Arial" w:eastAsia="Calibri" w:hAnsi="Arial" w:cs="Arial"/>
          <w:b/>
        </w:rPr>
      </w:pPr>
    </w:p>
    <w:p w:rsidR="00DA1416" w:rsidRPr="00DA1416" w:rsidRDefault="00DA1416" w:rsidP="00DA1416">
      <w:pPr>
        <w:numPr>
          <w:ilvl w:val="0"/>
          <w:numId w:val="18"/>
        </w:numPr>
        <w:spacing w:after="0" w:line="240" w:lineRule="auto"/>
        <w:contextualSpacing/>
        <w:rPr>
          <w:rFonts w:ascii="Arial" w:eastAsia="Calibri" w:hAnsi="Arial" w:cs="Arial"/>
        </w:rPr>
      </w:pPr>
      <w:r w:rsidRPr="00DA1416">
        <w:rPr>
          <w:rFonts w:ascii="Arial" w:eastAsia="Calibri" w:hAnsi="Arial" w:cs="Arial"/>
        </w:rPr>
        <w:t>Forest skills programme</w:t>
      </w:r>
    </w:p>
    <w:p w:rsidR="00DA1416" w:rsidRPr="00DA1416" w:rsidRDefault="00DA1416" w:rsidP="00DA1416">
      <w:pPr>
        <w:numPr>
          <w:ilvl w:val="0"/>
          <w:numId w:val="18"/>
        </w:numPr>
        <w:spacing w:after="0" w:line="240" w:lineRule="auto"/>
        <w:contextualSpacing/>
        <w:rPr>
          <w:rFonts w:ascii="Arial" w:eastAsia="Calibri" w:hAnsi="Arial" w:cs="Arial"/>
        </w:rPr>
      </w:pPr>
      <w:r w:rsidRPr="00DA1416">
        <w:rPr>
          <w:rFonts w:ascii="Arial" w:eastAsia="Calibri" w:hAnsi="Arial" w:cs="Arial"/>
        </w:rPr>
        <w:t>Thrive</w:t>
      </w:r>
    </w:p>
    <w:p w:rsidR="00DA1416" w:rsidRPr="00DA1416" w:rsidRDefault="00DA1416" w:rsidP="00DA1416">
      <w:pPr>
        <w:numPr>
          <w:ilvl w:val="0"/>
          <w:numId w:val="18"/>
        </w:numPr>
        <w:spacing w:after="0" w:line="240" w:lineRule="auto"/>
        <w:contextualSpacing/>
        <w:rPr>
          <w:rFonts w:ascii="Arial" w:eastAsia="Calibri" w:hAnsi="Arial" w:cs="Arial"/>
        </w:rPr>
      </w:pPr>
      <w:r w:rsidRPr="00DA1416">
        <w:rPr>
          <w:rFonts w:ascii="Arial" w:eastAsia="Calibri" w:hAnsi="Arial" w:cs="Arial"/>
        </w:rPr>
        <w:t>Mindfulness and PHSE scheme Jigsaw</w:t>
      </w:r>
    </w:p>
    <w:p w:rsidR="00DA1416" w:rsidRPr="00DA1416" w:rsidRDefault="00DA1416" w:rsidP="00DA1416">
      <w:pPr>
        <w:numPr>
          <w:ilvl w:val="0"/>
          <w:numId w:val="18"/>
        </w:numPr>
        <w:spacing w:after="0" w:line="240" w:lineRule="auto"/>
        <w:contextualSpacing/>
        <w:rPr>
          <w:rFonts w:ascii="Arial" w:eastAsia="Calibri" w:hAnsi="Arial" w:cs="Arial"/>
        </w:rPr>
      </w:pPr>
      <w:r w:rsidRPr="00DA1416">
        <w:rPr>
          <w:rFonts w:ascii="Arial" w:eastAsia="Calibri" w:hAnsi="Arial" w:cs="Arial"/>
        </w:rPr>
        <w:t>Parental support and engagement activity – targeted at PP parents (attendance support; behaviour management and relationship building)</w:t>
      </w:r>
    </w:p>
    <w:p w:rsidR="00DA1416" w:rsidRPr="00DA1416" w:rsidRDefault="00DA1416" w:rsidP="00DA1416">
      <w:pPr>
        <w:spacing w:after="0" w:line="240" w:lineRule="auto"/>
        <w:rPr>
          <w:rFonts w:ascii="Arial" w:eastAsia="Calibri" w:hAnsi="Arial" w:cs="Arial"/>
          <w:b/>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Academic Interventions</w:t>
      </w:r>
    </w:p>
    <w:p w:rsidR="00DA1416" w:rsidRPr="00DA1416" w:rsidRDefault="00DA1416" w:rsidP="00DA1416">
      <w:pPr>
        <w:spacing w:after="0" w:line="240" w:lineRule="auto"/>
        <w:rPr>
          <w:rFonts w:ascii="Arial" w:eastAsia="Calibri" w:hAnsi="Arial" w:cs="Arial"/>
          <w:b/>
        </w:rPr>
      </w:pP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Deployment of staff to provide 1-1 additional support and small group work to support core subjects particularly reading, writing and maths</w:t>
      </w: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Additional support provided as a rapid catch up programme for early years</w:t>
      </w: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2 x Reading Recovery teachers</w:t>
      </w: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 xml:space="preserve">Reading wise </w:t>
      </w: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 xml:space="preserve">Times table rockstars </w:t>
      </w: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mathletics</w:t>
      </w: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Teaching assistants supporting key interventions across the school</w:t>
      </w: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Third Space Learning Maths intervention year 5/6</w:t>
      </w: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Action Tutoring year 5/6</w:t>
      </w:r>
    </w:p>
    <w:p w:rsidR="00DA1416" w:rsidRPr="00DA1416" w:rsidRDefault="00DA1416" w:rsidP="00DA1416">
      <w:pPr>
        <w:numPr>
          <w:ilvl w:val="0"/>
          <w:numId w:val="17"/>
        </w:numPr>
        <w:spacing w:after="0" w:line="240" w:lineRule="auto"/>
        <w:contextualSpacing/>
        <w:rPr>
          <w:rFonts w:ascii="Arial" w:eastAsia="Calibri" w:hAnsi="Arial" w:cs="Arial"/>
        </w:rPr>
      </w:pPr>
      <w:r w:rsidRPr="00DA1416">
        <w:rPr>
          <w:rFonts w:ascii="Arial" w:eastAsia="Calibri" w:hAnsi="Arial" w:cs="Arial"/>
        </w:rPr>
        <w:t>Brilliant Club Tutor More able year 5/6</w:t>
      </w:r>
    </w:p>
    <w:p w:rsidR="00DA1416" w:rsidRPr="00DA1416" w:rsidRDefault="00DA1416" w:rsidP="00DA1416">
      <w:pPr>
        <w:spacing w:after="0" w:line="240" w:lineRule="auto"/>
        <w:rPr>
          <w:rFonts w:ascii="Arial" w:eastAsia="Calibri" w:hAnsi="Arial" w:cs="Arial"/>
        </w:rPr>
      </w:pPr>
    </w:p>
    <w:p w:rsidR="00DA1416" w:rsidRPr="00DA1416" w:rsidRDefault="00DA1416" w:rsidP="00DA1416">
      <w:pPr>
        <w:spacing w:after="0" w:line="240" w:lineRule="auto"/>
        <w:rPr>
          <w:rFonts w:ascii="Arial" w:eastAsia="Calibri" w:hAnsi="Arial" w:cs="Arial"/>
          <w:b/>
        </w:rPr>
      </w:pPr>
      <w:r w:rsidRPr="00DA1416">
        <w:rPr>
          <w:rFonts w:ascii="Arial" w:eastAsia="Calibri" w:hAnsi="Arial" w:cs="Arial"/>
          <w:b/>
        </w:rPr>
        <w:t>Pupil Premium Funding and Expenditure 2017-18</w:t>
      </w:r>
    </w:p>
    <w:p w:rsidR="00DA1416" w:rsidRPr="00DA1416" w:rsidRDefault="00DA1416" w:rsidP="00DA1416">
      <w:pPr>
        <w:spacing w:after="0" w:line="240" w:lineRule="auto"/>
        <w:rPr>
          <w:rFonts w:ascii="Arial" w:eastAsia="Calibri" w:hAnsi="Arial" w:cs="Arial"/>
          <w:sz w:val="24"/>
        </w:rPr>
        <w:sectPr w:rsidR="00DA1416" w:rsidRPr="00DA1416" w:rsidSect="005D6FDD">
          <w:headerReference w:type="default" r:id="rId7"/>
          <w:headerReference w:type="first" r:id="rId8"/>
          <w:pgSz w:w="11906" w:h="16838"/>
          <w:pgMar w:top="1440" w:right="707" w:bottom="1440" w:left="1440" w:header="708" w:footer="708" w:gutter="0"/>
          <w:cols w:space="708"/>
          <w:titlePg/>
          <w:docGrid w:linePitch="360"/>
        </w:sectPr>
      </w:pPr>
      <w:r w:rsidRPr="00DA1416">
        <w:rPr>
          <w:rFonts w:ascii="Arial" w:eastAsia="Calibri" w:hAnsi="Arial" w:cs="Arial"/>
        </w:rPr>
        <w:lastRenderedPageBreak/>
        <w:t>In the academic year 2017-18 the value of the Pupil Premium for primary pupils is £1320. The total Pupil Premium funds for academic year 2017-18: £356,400</w:t>
      </w:r>
    </w:p>
    <w:p w:rsidR="00DA1416" w:rsidRPr="00756DF6" w:rsidRDefault="00DA1416">
      <w:pPr>
        <w:rPr>
          <w:rFonts w:cstheme="minorHAnsi"/>
          <w:sz w:val="14"/>
        </w:rPr>
      </w:pPr>
    </w:p>
    <w:p w:rsidR="00DA1416" w:rsidRPr="00756DF6" w:rsidRDefault="00DA1416">
      <w:pPr>
        <w:rPr>
          <w:rFonts w:cstheme="minorHAnsi"/>
          <w:sz w:val="16"/>
          <w:szCs w:val="16"/>
        </w:rPr>
      </w:pPr>
    </w:p>
    <w:tbl>
      <w:tblPr>
        <w:tblStyle w:val="TableGrid"/>
        <w:tblW w:w="0" w:type="auto"/>
        <w:tblLook w:val="04A0" w:firstRow="1" w:lastRow="0" w:firstColumn="1" w:lastColumn="0" w:noHBand="0" w:noVBand="1"/>
      </w:tblPr>
      <w:tblGrid>
        <w:gridCol w:w="1743"/>
        <w:gridCol w:w="1743"/>
        <w:gridCol w:w="1743"/>
        <w:gridCol w:w="1743"/>
      </w:tblGrid>
      <w:tr w:rsidR="0076227A" w:rsidRPr="00756DF6" w:rsidTr="0076227A">
        <w:tc>
          <w:tcPr>
            <w:tcW w:w="6972" w:type="dxa"/>
            <w:gridSpan w:val="4"/>
            <w:shd w:val="clear" w:color="auto" w:fill="BDD6EE" w:themeFill="accent1" w:themeFillTint="66"/>
          </w:tcPr>
          <w:p w:rsidR="0076227A" w:rsidRPr="00756DF6" w:rsidRDefault="0076227A" w:rsidP="0076227A">
            <w:pPr>
              <w:pStyle w:val="ListParagraph"/>
              <w:numPr>
                <w:ilvl w:val="0"/>
                <w:numId w:val="1"/>
              </w:numPr>
              <w:ind w:left="306" w:hanging="426"/>
              <w:rPr>
                <w:rFonts w:cstheme="minorHAnsi"/>
                <w:sz w:val="16"/>
                <w:szCs w:val="16"/>
              </w:rPr>
            </w:pPr>
            <w:r w:rsidRPr="00756DF6">
              <w:rPr>
                <w:rFonts w:cstheme="minorHAnsi"/>
                <w:sz w:val="16"/>
                <w:szCs w:val="16"/>
              </w:rPr>
              <w:t>Summary Information</w:t>
            </w:r>
          </w:p>
        </w:tc>
      </w:tr>
      <w:tr w:rsidR="0076227A" w:rsidRPr="00756DF6" w:rsidTr="003C24B2">
        <w:tc>
          <w:tcPr>
            <w:tcW w:w="1743" w:type="dxa"/>
          </w:tcPr>
          <w:p w:rsidR="0076227A" w:rsidRPr="00756DF6" w:rsidRDefault="0076227A">
            <w:pPr>
              <w:rPr>
                <w:rFonts w:cstheme="minorHAnsi"/>
                <w:sz w:val="16"/>
                <w:szCs w:val="16"/>
              </w:rPr>
            </w:pPr>
            <w:r w:rsidRPr="00756DF6">
              <w:rPr>
                <w:rFonts w:cstheme="minorHAnsi"/>
                <w:sz w:val="16"/>
                <w:szCs w:val="16"/>
              </w:rPr>
              <w:t xml:space="preserve">Academic Year </w:t>
            </w:r>
          </w:p>
        </w:tc>
        <w:tc>
          <w:tcPr>
            <w:tcW w:w="1743" w:type="dxa"/>
          </w:tcPr>
          <w:p w:rsidR="0076227A" w:rsidRPr="00756DF6" w:rsidRDefault="0076227A">
            <w:pPr>
              <w:rPr>
                <w:rFonts w:cstheme="minorHAnsi"/>
                <w:sz w:val="16"/>
                <w:szCs w:val="16"/>
              </w:rPr>
            </w:pPr>
            <w:r w:rsidRPr="00756DF6">
              <w:rPr>
                <w:rFonts w:cstheme="minorHAnsi"/>
                <w:sz w:val="16"/>
                <w:szCs w:val="16"/>
              </w:rPr>
              <w:t>2017-2018</w:t>
            </w:r>
          </w:p>
        </w:tc>
        <w:tc>
          <w:tcPr>
            <w:tcW w:w="1743" w:type="dxa"/>
          </w:tcPr>
          <w:p w:rsidR="0076227A" w:rsidRPr="00756DF6" w:rsidRDefault="0076227A">
            <w:pPr>
              <w:rPr>
                <w:rFonts w:cstheme="minorHAnsi"/>
                <w:sz w:val="16"/>
                <w:szCs w:val="16"/>
              </w:rPr>
            </w:pPr>
            <w:r w:rsidRPr="00756DF6">
              <w:rPr>
                <w:rFonts w:cstheme="minorHAnsi"/>
                <w:sz w:val="16"/>
                <w:szCs w:val="16"/>
              </w:rPr>
              <w:t>Total PP budget</w:t>
            </w:r>
          </w:p>
        </w:tc>
        <w:tc>
          <w:tcPr>
            <w:tcW w:w="1743" w:type="dxa"/>
          </w:tcPr>
          <w:p w:rsidR="0076227A" w:rsidRPr="00756DF6" w:rsidRDefault="00A25957">
            <w:pPr>
              <w:rPr>
                <w:rFonts w:cstheme="minorHAnsi"/>
                <w:sz w:val="16"/>
                <w:szCs w:val="16"/>
              </w:rPr>
            </w:pPr>
            <w:r w:rsidRPr="00756DF6">
              <w:rPr>
                <w:rFonts w:cstheme="minorHAnsi"/>
                <w:sz w:val="16"/>
                <w:szCs w:val="16"/>
              </w:rPr>
              <w:t>365.400</w:t>
            </w:r>
          </w:p>
        </w:tc>
      </w:tr>
      <w:tr w:rsidR="0076227A" w:rsidRPr="00756DF6" w:rsidTr="003C24B2">
        <w:tc>
          <w:tcPr>
            <w:tcW w:w="1743" w:type="dxa"/>
          </w:tcPr>
          <w:p w:rsidR="0076227A" w:rsidRPr="00756DF6" w:rsidRDefault="0076227A">
            <w:pPr>
              <w:rPr>
                <w:rFonts w:cstheme="minorHAnsi"/>
                <w:sz w:val="16"/>
                <w:szCs w:val="16"/>
              </w:rPr>
            </w:pPr>
            <w:r w:rsidRPr="00756DF6">
              <w:rPr>
                <w:rFonts w:cstheme="minorHAnsi"/>
                <w:sz w:val="16"/>
                <w:szCs w:val="16"/>
              </w:rPr>
              <w:t xml:space="preserve">Total number of children </w:t>
            </w:r>
          </w:p>
        </w:tc>
        <w:tc>
          <w:tcPr>
            <w:tcW w:w="1743" w:type="dxa"/>
          </w:tcPr>
          <w:p w:rsidR="0076227A" w:rsidRPr="00756DF6" w:rsidRDefault="00A25957">
            <w:pPr>
              <w:rPr>
                <w:rFonts w:cstheme="minorHAnsi"/>
                <w:sz w:val="16"/>
                <w:szCs w:val="16"/>
              </w:rPr>
            </w:pPr>
            <w:r w:rsidRPr="00756DF6">
              <w:rPr>
                <w:rFonts w:cstheme="minorHAnsi"/>
                <w:sz w:val="16"/>
                <w:szCs w:val="16"/>
              </w:rPr>
              <w:t>734</w:t>
            </w:r>
          </w:p>
        </w:tc>
        <w:tc>
          <w:tcPr>
            <w:tcW w:w="1743" w:type="dxa"/>
          </w:tcPr>
          <w:p w:rsidR="0076227A" w:rsidRPr="00756DF6" w:rsidRDefault="0076227A">
            <w:pPr>
              <w:rPr>
                <w:rFonts w:cstheme="minorHAnsi"/>
                <w:sz w:val="16"/>
                <w:szCs w:val="16"/>
              </w:rPr>
            </w:pPr>
            <w:r w:rsidRPr="00756DF6">
              <w:rPr>
                <w:rFonts w:cstheme="minorHAnsi"/>
                <w:sz w:val="16"/>
                <w:szCs w:val="16"/>
              </w:rPr>
              <w:t>Number of children eligible for PP</w:t>
            </w:r>
          </w:p>
        </w:tc>
        <w:tc>
          <w:tcPr>
            <w:tcW w:w="1743" w:type="dxa"/>
          </w:tcPr>
          <w:p w:rsidR="0076227A" w:rsidRPr="00756DF6" w:rsidRDefault="00A25957">
            <w:pPr>
              <w:rPr>
                <w:rFonts w:cstheme="minorHAnsi"/>
                <w:sz w:val="16"/>
                <w:szCs w:val="16"/>
              </w:rPr>
            </w:pPr>
            <w:r w:rsidRPr="00756DF6">
              <w:rPr>
                <w:rFonts w:cstheme="minorHAnsi"/>
                <w:sz w:val="16"/>
                <w:szCs w:val="16"/>
              </w:rPr>
              <w:t>270</w:t>
            </w:r>
          </w:p>
        </w:tc>
      </w:tr>
    </w:tbl>
    <w:p w:rsidR="0076227A" w:rsidRPr="00756DF6" w:rsidRDefault="005D51AE">
      <w:pPr>
        <w:rPr>
          <w:rFonts w:cstheme="minorHAnsi"/>
          <w:sz w:val="16"/>
          <w:szCs w:val="16"/>
        </w:rPr>
      </w:pPr>
      <w:r w:rsidRPr="00756DF6">
        <w:rPr>
          <w:rFonts w:eastAsia="Times New Roman" w:cstheme="minorHAnsi"/>
          <w:b/>
          <w:bCs/>
          <w:noProof/>
          <w:color w:val="000000"/>
          <w:sz w:val="16"/>
          <w:szCs w:val="16"/>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86995</wp:posOffset>
                </wp:positionV>
                <wp:extent cx="46101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46101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64CF29"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5pt" to="36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" strokecolor="#5b9bd5 [3204]" strokeweight=".5pt">
                <v:stroke joinstyle="miter"/>
                <w10:wrap anchorx="margin"/>
              </v:line>
            </w:pict>
          </mc:Fallback>
        </mc:AlternateContent>
      </w:r>
    </w:p>
    <w:p w:rsidR="005D51AE" w:rsidRPr="00756DF6" w:rsidRDefault="005D51AE">
      <w:pPr>
        <w:rPr>
          <w:rFonts w:cstheme="minorHAnsi"/>
          <w:sz w:val="16"/>
          <w:szCs w:val="16"/>
        </w:rPr>
      </w:pPr>
    </w:p>
    <w:p w:rsidR="005D51AE" w:rsidRPr="00756DF6" w:rsidRDefault="005D51AE">
      <w:pPr>
        <w:rPr>
          <w:rFonts w:cstheme="minorHAnsi"/>
          <w:sz w:val="16"/>
          <w:szCs w:val="16"/>
        </w:rPr>
      </w:pPr>
    </w:p>
    <w:p w:rsidR="005D51AE" w:rsidRDefault="00DA1416" w:rsidP="00DA1416">
      <w:pPr>
        <w:tabs>
          <w:tab w:val="left" w:pos="5745"/>
        </w:tabs>
        <w:rPr>
          <w:rFonts w:cstheme="minorHAnsi"/>
          <w:sz w:val="16"/>
          <w:szCs w:val="16"/>
        </w:rPr>
      </w:pPr>
      <w:r w:rsidRPr="00756DF6">
        <w:rPr>
          <w:rFonts w:cstheme="minorHAnsi"/>
          <w:sz w:val="16"/>
          <w:szCs w:val="16"/>
        </w:rPr>
        <w:tab/>
      </w:r>
    </w:p>
    <w:p w:rsidR="00A050AB" w:rsidRDefault="00A050AB" w:rsidP="00DA1416">
      <w:pPr>
        <w:tabs>
          <w:tab w:val="left" w:pos="5745"/>
        </w:tabs>
        <w:rPr>
          <w:rFonts w:cstheme="minorHAnsi"/>
          <w:sz w:val="16"/>
          <w:szCs w:val="16"/>
        </w:rPr>
      </w:pPr>
    </w:p>
    <w:p w:rsidR="00A050AB" w:rsidRDefault="00A050AB" w:rsidP="00DA1416">
      <w:pPr>
        <w:tabs>
          <w:tab w:val="left" w:pos="5745"/>
        </w:tabs>
        <w:rPr>
          <w:rFonts w:cstheme="minorHAnsi"/>
          <w:sz w:val="16"/>
          <w:szCs w:val="16"/>
        </w:rPr>
      </w:pPr>
    </w:p>
    <w:p w:rsidR="00A050AB" w:rsidRPr="00756DF6" w:rsidRDefault="00A050AB" w:rsidP="00DA1416">
      <w:pPr>
        <w:tabs>
          <w:tab w:val="left" w:pos="5745"/>
        </w:tabs>
        <w:rPr>
          <w:rFonts w:cstheme="minorHAnsi"/>
          <w:sz w:val="16"/>
          <w:szCs w:val="16"/>
        </w:rPr>
      </w:pPr>
    </w:p>
    <w:p w:rsidR="005D51AE" w:rsidRPr="00756DF6" w:rsidRDefault="005D51AE">
      <w:pPr>
        <w:rPr>
          <w:rFonts w:cstheme="minorHAnsi"/>
          <w:sz w:val="16"/>
          <w:szCs w:val="16"/>
        </w:rPr>
      </w:pPr>
    </w:p>
    <w:p w:rsidR="007C7688" w:rsidRPr="00756DF6" w:rsidRDefault="007C7688">
      <w:pPr>
        <w:rPr>
          <w:rFonts w:cstheme="minorHAnsi"/>
          <w:sz w:val="16"/>
          <w:szCs w:val="16"/>
        </w:rPr>
      </w:pPr>
    </w:p>
    <w:p w:rsidR="007475CF" w:rsidRPr="00756DF6" w:rsidRDefault="007475CF">
      <w:pPr>
        <w:rPr>
          <w:rFonts w:cstheme="minorHAnsi"/>
          <w:sz w:val="16"/>
          <w:szCs w:val="16"/>
        </w:rPr>
      </w:pPr>
    </w:p>
    <w:tbl>
      <w:tblPr>
        <w:tblStyle w:val="TableGrid"/>
        <w:tblpPr w:leftFromText="180" w:rightFromText="180" w:horzAnchor="margin" w:tblpY="1020"/>
        <w:tblW w:w="0" w:type="auto"/>
        <w:tblLook w:val="04A0" w:firstRow="1" w:lastRow="0" w:firstColumn="1" w:lastColumn="0" w:noHBand="0" w:noVBand="1"/>
      </w:tblPr>
      <w:tblGrid>
        <w:gridCol w:w="3487"/>
        <w:gridCol w:w="3487"/>
        <w:gridCol w:w="3487"/>
      </w:tblGrid>
      <w:tr w:rsidR="0076227A" w:rsidTr="007C7688">
        <w:tc>
          <w:tcPr>
            <w:tcW w:w="10461" w:type="dxa"/>
            <w:gridSpan w:val="3"/>
            <w:shd w:val="clear" w:color="auto" w:fill="BDD6EE" w:themeFill="accent1" w:themeFillTint="66"/>
          </w:tcPr>
          <w:p w:rsidR="0076227A" w:rsidRDefault="0076227A" w:rsidP="007C7688">
            <w:r>
              <w:t xml:space="preserve">2. Current attainment </w:t>
            </w:r>
          </w:p>
        </w:tc>
      </w:tr>
      <w:tr w:rsidR="007C7688" w:rsidTr="007C7688">
        <w:tc>
          <w:tcPr>
            <w:tcW w:w="3487" w:type="dxa"/>
          </w:tcPr>
          <w:p w:rsidR="007C7688" w:rsidRDefault="007C7688" w:rsidP="007C7688">
            <w:r>
              <w:t>All</w:t>
            </w:r>
          </w:p>
        </w:tc>
        <w:tc>
          <w:tcPr>
            <w:tcW w:w="3487" w:type="dxa"/>
          </w:tcPr>
          <w:p w:rsidR="007C7688" w:rsidRDefault="007C7688" w:rsidP="007C7688">
            <w:r>
              <w:t xml:space="preserve">Pupils eligible for PP </w:t>
            </w:r>
          </w:p>
        </w:tc>
        <w:tc>
          <w:tcPr>
            <w:tcW w:w="3487" w:type="dxa"/>
          </w:tcPr>
          <w:p w:rsidR="007C7688" w:rsidRDefault="007C7688" w:rsidP="007C7688">
            <w:r>
              <w:t>Non - PP</w:t>
            </w:r>
          </w:p>
        </w:tc>
      </w:tr>
      <w:tr w:rsidR="007C7688" w:rsidTr="007C7688">
        <w:tc>
          <w:tcPr>
            <w:tcW w:w="3487" w:type="dxa"/>
          </w:tcPr>
          <w:p w:rsidR="007C7688" w:rsidRDefault="007C7688" w:rsidP="007C7688">
            <w:r>
              <w:t xml:space="preserve">Reading </w:t>
            </w:r>
          </w:p>
        </w:tc>
        <w:tc>
          <w:tcPr>
            <w:tcW w:w="3487" w:type="dxa"/>
          </w:tcPr>
          <w:p w:rsidR="007C7688" w:rsidRDefault="007C7688" w:rsidP="007C7688">
            <w:r>
              <w:t>47 %</w:t>
            </w:r>
          </w:p>
        </w:tc>
        <w:tc>
          <w:tcPr>
            <w:tcW w:w="3487" w:type="dxa"/>
          </w:tcPr>
          <w:p w:rsidR="007C7688" w:rsidRDefault="007C7688" w:rsidP="007C7688">
            <w:r>
              <w:t>69 %</w:t>
            </w:r>
          </w:p>
        </w:tc>
      </w:tr>
      <w:tr w:rsidR="007C7688" w:rsidTr="007C7688">
        <w:tc>
          <w:tcPr>
            <w:tcW w:w="3487" w:type="dxa"/>
          </w:tcPr>
          <w:p w:rsidR="007C7688" w:rsidRDefault="007C7688" w:rsidP="007C7688">
            <w:r>
              <w:t>Writing</w:t>
            </w:r>
          </w:p>
        </w:tc>
        <w:tc>
          <w:tcPr>
            <w:tcW w:w="3487" w:type="dxa"/>
          </w:tcPr>
          <w:p w:rsidR="007C7688" w:rsidRDefault="007C7688" w:rsidP="007C7688">
            <w:r>
              <w:t>47 % %</w:t>
            </w:r>
          </w:p>
        </w:tc>
        <w:tc>
          <w:tcPr>
            <w:tcW w:w="3487" w:type="dxa"/>
          </w:tcPr>
          <w:p w:rsidR="007C7688" w:rsidRDefault="007C7688" w:rsidP="007C7688">
            <w:r>
              <w:t>68 %</w:t>
            </w:r>
          </w:p>
        </w:tc>
      </w:tr>
      <w:tr w:rsidR="007C7688" w:rsidTr="007C7688">
        <w:tc>
          <w:tcPr>
            <w:tcW w:w="3487" w:type="dxa"/>
          </w:tcPr>
          <w:p w:rsidR="007C7688" w:rsidRDefault="007C7688" w:rsidP="007C7688">
            <w:r>
              <w:t>Maths</w:t>
            </w:r>
          </w:p>
        </w:tc>
        <w:tc>
          <w:tcPr>
            <w:tcW w:w="3487" w:type="dxa"/>
          </w:tcPr>
          <w:p w:rsidR="007C7688" w:rsidRDefault="007C7688" w:rsidP="007C7688">
            <w:r>
              <w:t>55 %</w:t>
            </w:r>
          </w:p>
        </w:tc>
        <w:tc>
          <w:tcPr>
            <w:tcW w:w="3487" w:type="dxa"/>
          </w:tcPr>
          <w:p w:rsidR="007C7688" w:rsidRDefault="007C7688" w:rsidP="007C7688">
            <w:r>
              <w:t>69 %</w:t>
            </w:r>
          </w:p>
        </w:tc>
      </w:tr>
    </w:tbl>
    <w:p w:rsidR="007C7688" w:rsidRDefault="007C7688"/>
    <w:p w:rsidR="007C7688" w:rsidRDefault="007C7688"/>
    <w:p w:rsidR="007C7688" w:rsidRDefault="007C7688"/>
    <w:p w:rsidR="007C7688" w:rsidRDefault="007C7688"/>
    <w:tbl>
      <w:tblPr>
        <w:tblStyle w:val="TableGrid"/>
        <w:tblW w:w="0" w:type="auto"/>
        <w:tblLook w:val="04A0" w:firstRow="1" w:lastRow="0" w:firstColumn="1" w:lastColumn="0" w:noHBand="0" w:noVBand="1"/>
      </w:tblPr>
      <w:tblGrid>
        <w:gridCol w:w="3487"/>
        <w:gridCol w:w="3487"/>
        <w:gridCol w:w="3487"/>
      </w:tblGrid>
      <w:tr w:rsidR="005D706F" w:rsidTr="007C7688">
        <w:tc>
          <w:tcPr>
            <w:tcW w:w="10461" w:type="dxa"/>
            <w:gridSpan w:val="3"/>
            <w:shd w:val="clear" w:color="auto" w:fill="BDD6EE" w:themeFill="accent1" w:themeFillTint="66"/>
          </w:tcPr>
          <w:p w:rsidR="005D706F" w:rsidRDefault="005D706F" w:rsidP="003C24B2">
            <w:r>
              <w:t xml:space="preserve">2. Current attainment </w:t>
            </w:r>
          </w:p>
        </w:tc>
      </w:tr>
      <w:tr w:rsidR="007C7688" w:rsidTr="003C24B2">
        <w:tc>
          <w:tcPr>
            <w:tcW w:w="3487" w:type="dxa"/>
          </w:tcPr>
          <w:p w:rsidR="007C7688" w:rsidRDefault="007C7688" w:rsidP="003C24B2">
            <w:r>
              <w:t>Reception</w:t>
            </w:r>
            <w:r w:rsidR="00E43FB7">
              <w:t xml:space="preserve"> 30 – 50 </w:t>
            </w:r>
            <w:r w:rsidR="004074F9">
              <w:t>secure</w:t>
            </w:r>
          </w:p>
        </w:tc>
        <w:tc>
          <w:tcPr>
            <w:tcW w:w="3487" w:type="dxa"/>
          </w:tcPr>
          <w:p w:rsidR="007C7688" w:rsidRDefault="007C7688" w:rsidP="003C24B2">
            <w:r>
              <w:t xml:space="preserve">Pupils eligible for PP </w:t>
            </w:r>
            <w:r w:rsidR="004074F9">
              <w:t xml:space="preserve"> (29)</w:t>
            </w:r>
          </w:p>
        </w:tc>
        <w:tc>
          <w:tcPr>
            <w:tcW w:w="3487" w:type="dxa"/>
          </w:tcPr>
          <w:p w:rsidR="007C7688" w:rsidRDefault="007C7688" w:rsidP="003C24B2">
            <w:r>
              <w:t xml:space="preserve">Non </w:t>
            </w:r>
            <w:r w:rsidR="004074F9">
              <w:t>–</w:t>
            </w:r>
            <w:r>
              <w:t xml:space="preserve"> PP</w:t>
            </w:r>
            <w:r w:rsidR="004074F9">
              <w:t xml:space="preserve"> (92)</w:t>
            </w:r>
          </w:p>
        </w:tc>
      </w:tr>
      <w:tr w:rsidR="007C7688" w:rsidTr="003C24B2">
        <w:tc>
          <w:tcPr>
            <w:tcW w:w="3487" w:type="dxa"/>
          </w:tcPr>
          <w:p w:rsidR="007C7688" w:rsidRDefault="007C7688" w:rsidP="003C24B2">
            <w:r>
              <w:t xml:space="preserve">Reading </w:t>
            </w:r>
          </w:p>
        </w:tc>
        <w:tc>
          <w:tcPr>
            <w:tcW w:w="3487" w:type="dxa"/>
          </w:tcPr>
          <w:p w:rsidR="007C7688" w:rsidRDefault="00F810BA" w:rsidP="003C24B2">
            <w:r>
              <w:t>7</w:t>
            </w:r>
          </w:p>
        </w:tc>
        <w:tc>
          <w:tcPr>
            <w:tcW w:w="3487" w:type="dxa"/>
          </w:tcPr>
          <w:p w:rsidR="007C7688" w:rsidRDefault="00F810BA" w:rsidP="003C24B2">
            <w:r>
              <w:t>24</w:t>
            </w:r>
          </w:p>
        </w:tc>
      </w:tr>
      <w:tr w:rsidR="007C7688" w:rsidTr="003C24B2">
        <w:tc>
          <w:tcPr>
            <w:tcW w:w="3487" w:type="dxa"/>
          </w:tcPr>
          <w:p w:rsidR="007C7688" w:rsidRDefault="007C7688" w:rsidP="003C24B2">
            <w:r>
              <w:t>Writing</w:t>
            </w:r>
          </w:p>
        </w:tc>
        <w:tc>
          <w:tcPr>
            <w:tcW w:w="3487" w:type="dxa"/>
          </w:tcPr>
          <w:p w:rsidR="007C7688" w:rsidRDefault="00F810BA" w:rsidP="003C24B2">
            <w:r>
              <w:t>24</w:t>
            </w:r>
          </w:p>
        </w:tc>
        <w:tc>
          <w:tcPr>
            <w:tcW w:w="3487" w:type="dxa"/>
          </w:tcPr>
          <w:p w:rsidR="007C7688" w:rsidRDefault="00F810BA" w:rsidP="003C24B2">
            <w:r>
              <w:t>34</w:t>
            </w:r>
          </w:p>
        </w:tc>
      </w:tr>
      <w:tr w:rsidR="007C7688" w:rsidTr="003C24B2">
        <w:tc>
          <w:tcPr>
            <w:tcW w:w="3487" w:type="dxa"/>
          </w:tcPr>
          <w:p w:rsidR="007C7688" w:rsidRDefault="004B3EAE" w:rsidP="003C24B2">
            <w:r>
              <w:t>Number</w:t>
            </w:r>
          </w:p>
        </w:tc>
        <w:tc>
          <w:tcPr>
            <w:tcW w:w="3487" w:type="dxa"/>
          </w:tcPr>
          <w:p w:rsidR="007C7688" w:rsidRDefault="00B13CEB" w:rsidP="003C24B2">
            <w:r>
              <w:t>14</w:t>
            </w:r>
          </w:p>
        </w:tc>
        <w:tc>
          <w:tcPr>
            <w:tcW w:w="3487" w:type="dxa"/>
          </w:tcPr>
          <w:p w:rsidR="007C7688" w:rsidRDefault="00B13CEB" w:rsidP="003C24B2">
            <w:r>
              <w:t>18</w:t>
            </w:r>
          </w:p>
        </w:tc>
      </w:tr>
      <w:tr w:rsidR="003B728D" w:rsidTr="003C24B2">
        <w:tc>
          <w:tcPr>
            <w:tcW w:w="3487" w:type="dxa"/>
          </w:tcPr>
          <w:p w:rsidR="003B728D" w:rsidRDefault="00AD66A1" w:rsidP="003C24B2">
            <w:r>
              <w:t>Shape, Space and Measure</w:t>
            </w:r>
          </w:p>
        </w:tc>
        <w:tc>
          <w:tcPr>
            <w:tcW w:w="3487" w:type="dxa"/>
          </w:tcPr>
          <w:p w:rsidR="003B728D" w:rsidRDefault="00AD66A1" w:rsidP="003C24B2">
            <w:r>
              <w:t>28</w:t>
            </w:r>
          </w:p>
        </w:tc>
        <w:tc>
          <w:tcPr>
            <w:tcW w:w="3487" w:type="dxa"/>
          </w:tcPr>
          <w:p w:rsidR="003B728D" w:rsidRDefault="00AD66A1" w:rsidP="003C24B2">
            <w:r>
              <w:t>20</w:t>
            </w:r>
          </w:p>
        </w:tc>
      </w:tr>
    </w:tbl>
    <w:p w:rsidR="00200712" w:rsidRDefault="00200712"/>
    <w:tbl>
      <w:tblPr>
        <w:tblStyle w:val="TableGrid"/>
        <w:tblW w:w="0" w:type="auto"/>
        <w:tblLook w:val="04A0" w:firstRow="1" w:lastRow="0" w:firstColumn="1" w:lastColumn="0" w:noHBand="0" w:noVBand="1"/>
      </w:tblPr>
      <w:tblGrid>
        <w:gridCol w:w="3487"/>
        <w:gridCol w:w="3487"/>
        <w:gridCol w:w="3487"/>
      </w:tblGrid>
      <w:tr w:rsidR="00200712" w:rsidTr="007C7688">
        <w:tc>
          <w:tcPr>
            <w:tcW w:w="10461" w:type="dxa"/>
            <w:gridSpan w:val="3"/>
            <w:shd w:val="clear" w:color="auto" w:fill="BDD6EE" w:themeFill="accent1" w:themeFillTint="66"/>
          </w:tcPr>
          <w:p w:rsidR="00200712" w:rsidRDefault="00200712" w:rsidP="003C24B2">
            <w:r>
              <w:t xml:space="preserve">2. Current attainment </w:t>
            </w:r>
          </w:p>
        </w:tc>
      </w:tr>
      <w:tr w:rsidR="007C7688" w:rsidTr="003C24B2">
        <w:tc>
          <w:tcPr>
            <w:tcW w:w="3487" w:type="dxa"/>
          </w:tcPr>
          <w:p w:rsidR="007C7688" w:rsidRDefault="007C7688" w:rsidP="003C24B2">
            <w:r>
              <w:lastRenderedPageBreak/>
              <w:t>Year 1</w:t>
            </w:r>
          </w:p>
        </w:tc>
        <w:tc>
          <w:tcPr>
            <w:tcW w:w="3487" w:type="dxa"/>
          </w:tcPr>
          <w:p w:rsidR="007C7688" w:rsidRDefault="007C7688" w:rsidP="003C24B2">
            <w:r>
              <w:t xml:space="preserve">Pupils eligible for PP </w:t>
            </w:r>
            <w:r w:rsidR="0001088C">
              <w:t>(24)</w:t>
            </w:r>
          </w:p>
        </w:tc>
        <w:tc>
          <w:tcPr>
            <w:tcW w:w="3487" w:type="dxa"/>
          </w:tcPr>
          <w:p w:rsidR="007C7688" w:rsidRDefault="007C7688" w:rsidP="003C24B2">
            <w:r>
              <w:t xml:space="preserve">Non </w:t>
            </w:r>
            <w:r w:rsidR="00FB77EC">
              <w:t>–</w:t>
            </w:r>
            <w:r>
              <w:t xml:space="preserve"> PP</w:t>
            </w:r>
            <w:r w:rsidR="0001088C">
              <w:t xml:space="preserve"> </w:t>
            </w:r>
            <w:r w:rsidR="009237F1">
              <w:t>(90)</w:t>
            </w:r>
          </w:p>
        </w:tc>
      </w:tr>
      <w:tr w:rsidR="007C7688" w:rsidTr="003C24B2">
        <w:tc>
          <w:tcPr>
            <w:tcW w:w="3487" w:type="dxa"/>
          </w:tcPr>
          <w:p w:rsidR="007C7688" w:rsidRDefault="007C7688" w:rsidP="003C24B2">
            <w:r>
              <w:t xml:space="preserve">Reading </w:t>
            </w:r>
          </w:p>
        </w:tc>
        <w:tc>
          <w:tcPr>
            <w:tcW w:w="3487" w:type="dxa"/>
          </w:tcPr>
          <w:p w:rsidR="007C7688" w:rsidRDefault="009237F1" w:rsidP="003C24B2">
            <w:r>
              <w:t>59</w:t>
            </w:r>
          </w:p>
        </w:tc>
        <w:tc>
          <w:tcPr>
            <w:tcW w:w="3487" w:type="dxa"/>
          </w:tcPr>
          <w:p w:rsidR="007C7688" w:rsidRDefault="009237F1" w:rsidP="003C24B2">
            <w:r>
              <w:t>71</w:t>
            </w:r>
          </w:p>
        </w:tc>
      </w:tr>
      <w:tr w:rsidR="007C7688" w:rsidTr="003C24B2">
        <w:tc>
          <w:tcPr>
            <w:tcW w:w="3487" w:type="dxa"/>
          </w:tcPr>
          <w:p w:rsidR="007C7688" w:rsidRDefault="007C7688" w:rsidP="003C24B2">
            <w:r>
              <w:t>Writing</w:t>
            </w:r>
          </w:p>
        </w:tc>
        <w:tc>
          <w:tcPr>
            <w:tcW w:w="3487" w:type="dxa"/>
          </w:tcPr>
          <w:p w:rsidR="007C7688" w:rsidRDefault="008D4D06" w:rsidP="003C24B2">
            <w:r>
              <w:t>58</w:t>
            </w:r>
          </w:p>
        </w:tc>
        <w:tc>
          <w:tcPr>
            <w:tcW w:w="3487" w:type="dxa"/>
          </w:tcPr>
          <w:p w:rsidR="007C7688" w:rsidRDefault="008D4D06" w:rsidP="003C24B2">
            <w:r>
              <w:t>70</w:t>
            </w:r>
          </w:p>
        </w:tc>
      </w:tr>
      <w:tr w:rsidR="007C7688" w:rsidTr="003C24B2">
        <w:tc>
          <w:tcPr>
            <w:tcW w:w="3487" w:type="dxa"/>
          </w:tcPr>
          <w:p w:rsidR="007C7688" w:rsidRDefault="007C7688" w:rsidP="003C24B2">
            <w:r>
              <w:t>Maths</w:t>
            </w:r>
          </w:p>
        </w:tc>
        <w:tc>
          <w:tcPr>
            <w:tcW w:w="3487" w:type="dxa"/>
          </w:tcPr>
          <w:p w:rsidR="007C7688" w:rsidRDefault="007C7688" w:rsidP="003C24B2">
            <w:r>
              <w:t>7</w:t>
            </w:r>
            <w:r w:rsidR="008D4D06">
              <w:t>4</w:t>
            </w:r>
          </w:p>
        </w:tc>
        <w:tc>
          <w:tcPr>
            <w:tcW w:w="3487" w:type="dxa"/>
          </w:tcPr>
          <w:p w:rsidR="007C7688" w:rsidRDefault="0062359A" w:rsidP="003C24B2">
            <w:r>
              <w:t>76</w:t>
            </w:r>
          </w:p>
        </w:tc>
      </w:tr>
    </w:tbl>
    <w:p w:rsidR="00200712" w:rsidRDefault="00200712"/>
    <w:tbl>
      <w:tblPr>
        <w:tblStyle w:val="TableGrid"/>
        <w:tblW w:w="0" w:type="auto"/>
        <w:tblLook w:val="04A0" w:firstRow="1" w:lastRow="0" w:firstColumn="1" w:lastColumn="0" w:noHBand="0" w:noVBand="1"/>
      </w:tblPr>
      <w:tblGrid>
        <w:gridCol w:w="3487"/>
        <w:gridCol w:w="3487"/>
        <w:gridCol w:w="3487"/>
      </w:tblGrid>
      <w:tr w:rsidR="004A7293" w:rsidTr="007C7688">
        <w:tc>
          <w:tcPr>
            <w:tcW w:w="10461" w:type="dxa"/>
            <w:gridSpan w:val="3"/>
            <w:shd w:val="clear" w:color="auto" w:fill="BDD6EE" w:themeFill="accent1" w:themeFillTint="66"/>
          </w:tcPr>
          <w:p w:rsidR="004A7293" w:rsidRDefault="004A7293" w:rsidP="003C24B2">
            <w:r>
              <w:t xml:space="preserve">2. Current attainment </w:t>
            </w:r>
          </w:p>
        </w:tc>
      </w:tr>
      <w:tr w:rsidR="007C7688" w:rsidTr="003C24B2">
        <w:tc>
          <w:tcPr>
            <w:tcW w:w="3487" w:type="dxa"/>
          </w:tcPr>
          <w:p w:rsidR="007C7688" w:rsidRDefault="007C7688" w:rsidP="003C24B2">
            <w:r>
              <w:t>Year 2</w:t>
            </w:r>
          </w:p>
        </w:tc>
        <w:tc>
          <w:tcPr>
            <w:tcW w:w="3487" w:type="dxa"/>
          </w:tcPr>
          <w:p w:rsidR="007C7688" w:rsidRDefault="007C7688" w:rsidP="003C24B2">
            <w:r>
              <w:t xml:space="preserve">Pupils eligible for PP </w:t>
            </w:r>
            <w:r w:rsidR="0001088C">
              <w:t>(27)</w:t>
            </w:r>
          </w:p>
        </w:tc>
        <w:tc>
          <w:tcPr>
            <w:tcW w:w="3487" w:type="dxa"/>
          </w:tcPr>
          <w:p w:rsidR="007C7688" w:rsidRDefault="007C7688" w:rsidP="003C24B2">
            <w:r>
              <w:t xml:space="preserve">Non </w:t>
            </w:r>
            <w:r w:rsidR="0001088C">
              <w:t>–</w:t>
            </w:r>
            <w:r>
              <w:t xml:space="preserve"> PP</w:t>
            </w:r>
            <w:r w:rsidR="0001088C">
              <w:t xml:space="preserve"> (81)</w:t>
            </w:r>
          </w:p>
        </w:tc>
      </w:tr>
      <w:tr w:rsidR="007C7688" w:rsidTr="003C24B2">
        <w:tc>
          <w:tcPr>
            <w:tcW w:w="3487" w:type="dxa"/>
          </w:tcPr>
          <w:p w:rsidR="007C7688" w:rsidRDefault="007C7688" w:rsidP="003C24B2">
            <w:r>
              <w:t xml:space="preserve">Reading </w:t>
            </w:r>
          </w:p>
        </w:tc>
        <w:tc>
          <w:tcPr>
            <w:tcW w:w="3487" w:type="dxa"/>
          </w:tcPr>
          <w:p w:rsidR="007C7688" w:rsidRDefault="00727312" w:rsidP="003C24B2">
            <w:r>
              <w:t>71</w:t>
            </w:r>
          </w:p>
        </w:tc>
        <w:tc>
          <w:tcPr>
            <w:tcW w:w="3487" w:type="dxa"/>
          </w:tcPr>
          <w:p w:rsidR="007C7688" w:rsidRDefault="00727312" w:rsidP="003C24B2">
            <w:r>
              <w:t xml:space="preserve">82 </w:t>
            </w:r>
          </w:p>
        </w:tc>
      </w:tr>
      <w:tr w:rsidR="007C7688" w:rsidTr="003C24B2">
        <w:tc>
          <w:tcPr>
            <w:tcW w:w="3487" w:type="dxa"/>
          </w:tcPr>
          <w:p w:rsidR="007C7688" w:rsidRDefault="007C7688" w:rsidP="003C24B2">
            <w:r>
              <w:t>Writing</w:t>
            </w:r>
          </w:p>
        </w:tc>
        <w:tc>
          <w:tcPr>
            <w:tcW w:w="3487" w:type="dxa"/>
          </w:tcPr>
          <w:p w:rsidR="007C7688" w:rsidRDefault="00727312" w:rsidP="003C24B2">
            <w:r>
              <w:t>64</w:t>
            </w:r>
          </w:p>
        </w:tc>
        <w:tc>
          <w:tcPr>
            <w:tcW w:w="3487" w:type="dxa"/>
          </w:tcPr>
          <w:p w:rsidR="007C7688" w:rsidRDefault="00727312" w:rsidP="003C24B2">
            <w:r>
              <w:t>80</w:t>
            </w:r>
          </w:p>
        </w:tc>
      </w:tr>
      <w:tr w:rsidR="007C7688" w:rsidTr="003C24B2">
        <w:tc>
          <w:tcPr>
            <w:tcW w:w="3487" w:type="dxa"/>
          </w:tcPr>
          <w:p w:rsidR="007C7688" w:rsidRDefault="007C7688" w:rsidP="003C24B2">
            <w:r>
              <w:t>Maths</w:t>
            </w:r>
          </w:p>
        </w:tc>
        <w:tc>
          <w:tcPr>
            <w:tcW w:w="3487" w:type="dxa"/>
          </w:tcPr>
          <w:p w:rsidR="007C7688" w:rsidRDefault="007C7688" w:rsidP="003C24B2">
            <w:r>
              <w:t>7</w:t>
            </w:r>
            <w:r w:rsidR="00727312">
              <w:t>8</w:t>
            </w:r>
          </w:p>
        </w:tc>
        <w:tc>
          <w:tcPr>
            <w:tcW w:w="3487" w:type="dxa"/>
          </w:tcPr>
          <w:p w:rsidR="007C7688" w:rsidRDefault="00727312" w:rsidP="003C24B2">
            <w:r>
              <w:t>80</w:t>
            </w:r>
          </w:p>
        </w:tc>
      </w:tr>
    </w:tbl>
    <w:p w:rsidR="004A7293" w:rsidRDefault="004A7293"/>
    <w:p w:rsidR="0020634D" w:rsidRDefault="0020634D"/>
    <w:p w:rsidR="0020634D" w:rsidRDefault="0020634D"/>
    <w:p w:rsidR="0020634D" w:rsidRDefault="0020634D"/>
    <w:tbl>
      <w:tblPr>
        <w:tblStyle w:val="TableGrid"/>
        <w:tblW w:w="0" w:type="auto"/>
        <w:tblLook w:val="04A0" w:firstRow="1" w:lastRow="0" w:firstColumn="1" w:lastColumn="0" w:noHBand="0" w:noVBand="1"/>
      </w:tblPr>
      <w:tblGrid>
        <w:gridCol w:w="3487"/>
        <w:gridCol w:w="3487"/>
        <w:gridCol w:w="3487"/>
      </w:tblGrid>
      <w:tr w:rsidR="0087422D" w:rsidTr="007C7688">
        <w:tc>
          <w:tcPr>
            <w:tcW w:w="10461" w:type="dxa"/>
            <w:gridSpan w:val="3"/>
            <w:shd w:val="clear" w:color="auto" w:fill="BDD6EE" w:themeFill="accent1" w:themeFillTint="66"/>
          </w:tcPr>
          <w:p w:rsidR="0087422D" w:rsidRDefault="0087422D" w:rsidP="003C24B2">
            <w:r>
              <w:t xml:space="preserve">2. Current attainment </w:t>
            </w:r>
          </w:p>
        </w:tc>
      </w:tr>
      <w:tr w:rsidR="007C7688" w:rsidTr="003C24B2">
        <w:tc>
          <w:tcPr>
            <w:tcW w:w="3487" w:type="dxa"/>
          </w:tcPr>
          <w:p w:rsidR="007C7688" w:rsidRDefault="007C7688" w:rsidP="003C24B2">
            <w:r>
              <w:t>Year 3</w:t>
            </w:r>
          </w:p>
        </w:tc>
        <w:tc>
          <w:tcPr>
            <w:tcW w:w="3487" w:type="dxa"/>
          </w:tcPr>
          <w:p w:rsidR="007C7688" w:rsidRDefault="007C7688" w:rsidP="003C24B2">
            <w:r>
              <w:t xml:space="preserve">Pupils eligible for PP </w:t>
            </w:r>
            <w:r w:rsidR="00EC4168">
              <w:t>(43)</w:t>
            </w:r>
          </w:p>
        </w:tc>
        <w:tc>
          <w:tcPr>
            <w:tcW w:w="3487" w:type="dxa"/>
          </w:tcPr>
          <w:p w:rsidR="007C7688" w:rsidRDefault="007C7688" w:rsidP="003C24B2">
            <w:r>
              <w:t xml:space="preserve">Non </w:t>
            </w:r>
            <w:r w:rsidR="00EC4168">
              <w:t>–</w:t>
            </w:r>
            <w:r>
              <w:t xml:space="preserve"> PP</w:t>
            </w:r>
            <w:r w:rsidR="00EC4168">
              <w:t xml:space="preserve"> (59)</w:t>
            </w:r>
          </w:p>
        </w:tc>
      </w:tr>
      <w:tr w:rsidR="007C7688" w:rsidTr="003C24B2">
        <w:tc>
          <w:tcPr>
            <w:tcW w:w="3487" w:type="dxa"/>
          </w:tcPr>
          <w:p w:rsidR="007C7688" w:rsidRDefault="007C7688" w:rsidP="003C24B2">
            <w:r>
              <w:t xml:space="preserve">Reading </w:t>
            </w:r>
          </w:p>
        </w:tc>
        <w:tc>
          <w:tcPr>
            <w:tcW w:w="3487" w:type="dxa"/>
          </w:tcPr>
          <w:p w:rsidR="007C7688" w:rsidRDefault="00D93804" w:rsidP="003C24B2">
            <w:r>
              <w:t>70</w:t>
            </w:r>
          </w:p>
        </w:tc>
        <w:tc>
          <w:tcPr>
            <w:tcW w:w="3487" w:type="dxa"/>
          </w:tcPr>
          <w:p w:rsidR="007C7688" w:rsidRDefault="007C7688" w:rsidP="003C24B2">
            <w:r>
              <w:t>78</w:t>
            </w:r>
          </w:p>
        </w:tc>
      </w:tr>
      <w:tr w:rsidR="007C7688" w:rsidTr="003C24B2">
        <w:tc>
          <w:tcPr>
            <w:tcW w:w="3487" w:type="dxa"/>
          </w:tcPr>
          <w:p w:rsidR="007C7688" w:rsidRDefault="007C7688" w:rsidP="003C24B2">
            <w:r>
              <w:t>Writing</w:t>
            </w:r>
          </w:p>
        </w:tc>
        <w:tc>
          <w:tcPr>
            <w:tcW w:w="3487" w:type="dxa"/>
          </w:tcPr>
          <w:p w:rsidR="007C7688" w:rsidRDefault="00D93804" w:rsidP="003C24B2">
            <w:r>
              <w:t>64</w:t>
            </w:r>
          </w:p>
        </w:tc>
        <w:tc>
          <w:tcPr>
            <w:tcW w:w="3487" w:type="dxa"/>
          </w:tcPr>
          <w:p w:rsidR="007C7688" w:rsidRDefault="00D93804" w:rsidP="003C24B2">
            <w:r>
              <w:t>73</w:t>
            </w:r>
          </w:p>
        </w:tc>
      </w:tr>
      <w:tr w:rsidR="007C7688" w:rsidTr="003C24B2">
        <w:tc>
          <w:tcPr>
            <w:tcW w:w="3487" w:type="dxa"/>
          </w:tcPr>
          <w:p w:rsidR="007C7688" w:rsidRDefault="007C7688" w:rsidP="003C24B2">
            <w:r>
              <w:t>Maths</w:t>
            </w:r>
          </w:p>
        </w:tc>
        <w:tc>
          <w:tcPr>
            <w:tcW w:w="3487" w:type="dxa"/>
          </w:tcPr>
          <w:p w:rsidR="007C7688" w:rsidRDefault="009E4FFF" w:rsidP="003C24B2">
            <w:r>
              <w:t>72</w:t>
            </w:r>
          </w:p>
        </w:tc>
        <w:tc>
          <w:tcPr>
            <w:tcW w:w="3487" w:type="dxa"/>
          </w:tcPr>
          <w:p w:rsidR="007C7688" w:rsidRDefault="007C7688" w:rsidP="003C24B2">
            <w:r>
              <w:t>6</w:t>
            </w:r>
            <w:r w:rsidR="009E4FFF">
              <w:t>6</w:t>
            </w:r>
          </w:p>
        </w:tc>
      </w:tr>
    </w:tbl>
    <w:p w:rsidR="00A11218" w:rsidRDefault="00A11218"/>
    <w:tbl>
      <w:tblPr>
        <w:tblStyle w:val="TableGrid"/>
        <w:tblW w:w="0" w:type="auto"/>
        <w:tblLook w:val="04A0" w:firstRow="1" w:lastRow="0" w:firstColumn="1" w:lastColumn="0" w:noHBand="0" w:noVBand="1"/>
      </w:tblPr>
      <w:tblGrid>
        <w:gridCol w:w="3487"/>
        <w:gridCol w:w="3487"/>
        <w:gridCol w:w="3487"/>
      </w:tblGrid>
      <w:tr w:rsidR="00A11218" w:rsidTr="007C7688">
        <w:tc>
          <w:tcPr>
            <w:tcW w:w="10461" w:type="dxa"/>
            <w:gridSpan w:val="3"/>
            <w:shd w:val="clear" w:color="auto" w:fill="BDD6EE" w:themeFill="accent1" w:themeFillTint="66"/>
          </w:tcPr>
          <w:p w:rsidR="00A11218" w:rsidRDefault="00A11218" w:rsidP="003C24B2">
            <w:r>
              <w:t xml:space="preserve">2. Current attainment </w:t>
            </w:r>
          </w:p>
        </w:tc>
      </w:tr>
      <w:tr w:rsidR="007C7688" w:rsidTr="003C24B2">
        <w:tc>
          <w:tcPr>
            <w:tcW w:w="3487" w:type="dxa"/>
          </w:tcPr>
          <w:p w:rsidR="007C7688" w:rsidRDefault="007C7688" w:rsidP="003C24B2">
            <w:r>
              <w:t>Year 4</w:t>
            </w:r>
          </w:p>
        </w:tc>
        <w:tc>
          <w:tcPr>
            <w:tcW w:w="3487" w:type="dxa"/>
          </w:tcPr>
          <w:p w:rsidR="007C7688" w:rsidRDefault="007C7688" w:rsidP="003C24B2">
            <w:r>
              <w:t xml:space="preserve">Pupils eligible for PP </w:t>
            </w:r>
            <w:r w:rsidR="00163375">
              <w:t>(37)</w:t>
            </w:r>
          </w:p>
        </w:tc>
        <w:tc>
          <w:tcPr>
            <w:tcW w:w="3487" w:type="dxa"/>
          </w:tcPr>
          <w:p w:rsidR="007C7688" w:rsidRDefault="007C7688" w:rsidP="003C24B2">
            <w:r>
              <w:t xml:space="preserve">Non </w:t>
            </w:r>
            <w:r w:rsidR="0013192F">
              <w:t>–</w:t>
            </w:r>
            <w:r>
              <w:t xml:space="preserve"> PP</w:t>
            </w:r>
            <w:r w:rsidR="0013192F">
              <w:t xml:space="preserve"> (66)</w:t>
            </w:r>
          </w:p>
        </w:tc>
      </w:tr>
      <w:tr w:rsidR="007C7688" w:rsidTr="003C24B2">
        <w:tc>
          <w:tcPr>
            <w:tcW w:w="3487" w:type="dxa"/>
          </w:tcPr>
          <w:p w:rsidR="007C7688" w:rsidRDefault="007C7688" w:rsidP="003C24B2">
            <w:r>
              <w:t xml:space="preserve">Reading </w:t>
            </w:r>
          </w:p>
        </w:tc>
        <w:tc>
          <w:tcPr>
            <w:tcW w:w="3487" w:type="dxa"/>
          </w:tcPr>
          <w:p w:rsidR="007C7688" w:rsidRDefault="0013192F" w:rsidP="003C24B2">
            <w:r>
              <w:t>61</w:t>
            </w:r>
          </w:p>
        </w:tc>
        <w:tc>
          <w:tcPr>
            <w:tcW w:w="3487" w:type="dxa"/>
          </w:tcPr>
          <w:p w:rsidR="007C7688" w:rsidRDefault="007C7688" w:rsidP="003C24B2">
            <w:r>
              <w:t>7</w:t>
            </w:r>
            <w:r w:rsidR="0013192F">
              <w:t>8</w:t>
            </w:r>
          </w:p>
        </w:tc>
      </w:tr>
      <w:tr w:rsidR="007C7688" w:rsidTr="003C24B2">
        <w:tc>
          <w:tcPr>
            <w:tcW w:w="3487" w:type="dxa"/>
          </w:tcPr>
          <w:p w:rsidR="007C7688" w:rsidRDefault="007C7688" w:rsidP="003C24B2">
            <w:r>
              <w:t>Writing</w:t>
            </w:r>
          </w:p>
        </w:tc>
        <w:tc>
          <w:tcPr>
            <w:tcW w:w="3487" w:type="dxa"/>
          </w:tcPr>
          <w:p w:rsidR="007C7688" w:rsidRDefault="0013192F" w:rsidP="003C24B2">
            <w:r>
              <w:t>54</w:t>
            </w:r>
          </w:p>
        </w:tc>
        <w:tc>
          <w:tcPr>
            <w:tcW w:w="3487" w:type="dxa"/>
          </w:tcPr>
          <w:p w:rsidR="007C7688" w:rsidRDefault="0013192F" w:rsidP="003C24B2">
            <w:r>
              <w:t>71</w:t>
            </w:r>
          </w:p>
        </w:tc>
      </w:tr>
      <w:tr w:rsidR="007C7688" w:rsidTr="003C24B2">
        <w:tc>
          <w:tcPr>
            <w:tcW w:w="3487" w:type="dxa"/>
          </w:tcPr>
          <w:p w:rsidR="007C7688" w:rsidRDefault="007C7688" w:rsidP="003C24B2">
            <w:r>
              <w:t>Maths</w:t>
            </w:r>
          </w:p>
        </w:tc>
        <w:tc>
          <w:tcPr>
            <w:tcW w:w="3487" w:type="dxa"/>
          </w:tcPr>
          <w:p w:rsidR="007C7688" w:rsidRDefault="00CD1687" w:rsidP="003C24B2">
            <w:r>
              <w:t>54</w:t>
            </w:r>
          </w:p>
        </w:tc>
        <w:tc>
          <w:tcPr>
            <w:tcW w:w="3487" w:type="dxa"/>
          </w:tcPr>
          <w:p w:rsidR="007C7688" w:rsidRDefault="00CD1687" w:rsidP="003C24B2">
            <w:r>
              <w:t>73</w:t>
            </w:r>
          </w:p>
        </w:tc>
      </w:tr>
    </w:tbl>
    <w:p w:rsidR="004A7293" w:rsidRDefault="004A7293"/>
    <w:tbl>
      <w:tblPr>
        <w:tblStyle w:val="TableGrid"/>
        <w:tblW w:w="0" w:type="auto"/>
        <w:tblLook w:val="04A0" w:firstRow="1" w:lastRow="0" w:firstColumn="1" w:lastColumn="0" w:noHBand="0" w:noVBand="1"/>
      </w:tblPr>
      <w:tblGrid>
        <w:gridCol w:w="3487"/>
        <w:gridCol w:w="3487"/>
        <w:gridCol w:w="3487"/>
      </w:tblGrid>
      <w:tr w:rsidR="00D135C9" w:rsidTr="007C7688">
        <w:tc>
          <w:tcPr>
            <w:tcW w:w="10461" w:type="dxa"/>
            <w:gridSpan w:val="3"/>
            <w:shd w:val="clear" w:color="auto" w:fill="BDD6EE" w:themeFill="accent1" w:themeFillTint="66"/>
          </w:tcPr>
          <w:p w:rsidR="00D135C9" w:rsidRDefault="00D135C9" w:rsidP="003C24B2">
            <w:r>
              <w:t xml:space="preserve">2. Current attainment </w:t>
            </w:r>
          </w:p>
        </w:tc>
      </w:tr>
      <w:tr w:rsidR="007C7688" w:rsidTr="003C24B2">
        <w:tc>
          <w:tcPr>
            <w:tcW w:w="3487" w:type="dxa"/>
          </w:tcPr>
          <w:p w:rsidR="007C7688" w:rsidRDefault="007C7688" w:rsidP="003C24B2">
            <w:r>
              <w:t>Year 5</w:t>
            </w:r>
          </w:p>
        </w:tc>
        <w:tc>
          <w:tcPr>
            <w:tcW w:w="3487" w:type="dxa"/>
          </w:tcPr>
          <w:p w:rsidR="007C7688" w:rsidRDefault="007C7688" w:rsidP="003C24B2">
            <w:r>
              <w:t xml:space="preserve">Pupils eligible for PP </w:t>
            </w:r>
            <w:r w:rsidR="005E5607">
              <w:t>(52)</w:t>
            </w:r>
          </w:p>
        </w:tc>
        <w:tc>
          <w:tcPr>
            <w:tcW w:w="3487" w:type="dxa"/>
          </w:tcPr>
          <w:p w:rsidR="007C7688" w:rsidRDefault="007C7688" w:rsidP="003C24B2">
            <w:r>
              <w:t xml:space="preserve">Non </w:t>
            </w:r>
            <w:r w:rsidR="005E5607">
              <w:t>–</w:t>
            </w:r>
            <w:r>
              <w:t xml:space="preserve"> PP</w:t>
            </w:r>
            <w:r w:rsidR="005E5607">
              <w:t xml:space="preserve"> (54)</w:t>
            </w:r>
          </w:p>
        </w:tc>
      </w:tr>
      <w:tr w:rsidR="007C7688" w:rsidTr="003C24B2">
        <w:tc>
          <w:tcPr>
            <w:tcW w:w="3487" w:type="dxa"/>
          </w:tcPr>
          <w:p w:rsidR="007C7688" w:rsidRDefault="007C7688" w:rsidP="003C24B2">
            <w:r>
              <w:t xml:space="preserve">Reading </w:t>
            </w:r>
          </w:p>
        </w:tc>
        <w:tc>
          <w:tcPr>
            <w:tcW w:w="3487" w:type="dxa"/>
          </w:tcPr>
          <w:p w:rsidR="007C7688" w:rsidRDefault="00C13194" w:rsidP="003C24B2">
            <w:r>
              <w:t>63</w:t>
            </w:r>
          </w:p>
        </w:tc>
        <w:tc>
          <w:tcPr>
            <w:tcW w:w="3487" w:type="dxa"/>
          </w:tcPr>
          <w:p w:rsidR="007C7688" w:rsidRDefault="007C7688" w:rsidP="003C24B2">
            <w:r>
              <w:t>7</w:t>
            </w:r>
            <w:r w:rsidR="00C13194">
              <w:t>4</w:t>
            </w:r>
          </w:p>
        </w:tc>
      </w:tr>
      <w:tr w:rsidR="007C7688" w:rsidTr="003C24B2">
        <w:tc>
          <w:tcPr>
            <w:tcW w:w="3487" w:type="dxa"/>
          </w:tcPr>
          <w:p w:rsidR="007C7688" w:rsidRDefault="007C7688" w:rsidP="003C24B2">
            <w:r>
              <w:t>Writing</w:t>
            </w:r>
          </w:p>
        </w:tc>
        <w:tc>
          <w:tcPr>
            <w:tcW w:w="3487" w:type="dxa"/>
          </w:tcPr>
          <w:p w:rsidR="007C7688" w:rsidRDefault="006D4530" w:rsidP="003C24B2">
            <w:r>
              <w:t>46</w:t>
            </w:r>
          </w:p>
        </w:tc>
        <w:tc>
          <w:tcPr>
            <w:tcW w:w="3487" w:type="dxa"/>
          </w:tcPr>
          <w:p w:rsidR="007C7688" w:rsidRDefault="00FB6589" w:rsidP="003C24B2">
            <w:r>
              <w:t>59</w:t>
            </w:r>
          </w:p>
        </w:tc>
      </w:tr>
      <w:tr w:rsidR="007C7688" w:rsidTr="003C24B2">
        <w:tc>
          <w:tcPr>
            <w:tcW w:w="3487" w:type="dxa"/>
          </w:tcPr>
          <w:p w:rsidR="007C7688" w:rsidRDefault="007C7688" w:rsidP="003C24B2">
            <w:r>
              <w:t>Maths</w:t>
            </w:r>
          </w:p>
        </w:tc>
        <w:tc>
          <w:tcPr>
            <w:tcW w:w="3487" w:type="dxa"/>
          </w:tcPr>
          <w:p w:rsidR="007C7688" w:rsidRDefault="007C7688" w:rsidP="003C24B2">
            <w:r>
              <w:t>5</w:t>
            </w:r>
            <w:r w:rsidR="00FB6589">
              <w:t>7</w:t>
            </w:r>
          </w:p>
        </w:tc>
        <w:tc>
          <w:tcPr>
            <w:tcW w:w="3487" w:type="dxa"/>
          </w:tcPr>
          <w:p w:rsidR="007C7688" w:rsidRDefault="00FB6589" w:rsidP="003C24B2">
            <w:r>
              <w:t>64</w:t>
            </w:r>
          </w:p>
        </w:tc>
      </w:tr>
    </w:tbl>
    <w:p w:rsidR="00D135C9" w:rsidRDefault="00D135C9"/>
    <w:tbl>
      <w:tblPr>
        <w:tblStyle w:val="TableGrid"/>
        <w:tblW w:w="0" w:type="auto"/>
        <w:tblLook w:val="04A0" w:firstRow="1" w:lastRow="0" w:firstColumn="1" w:lastColumn="0" w:noHBand="0" w:noVBand="1"/>
      </w:tblPr>
      <w:tblGrid>
        <w:gridCol w:w="3487"/>
        <w:gridCol w:w="3487"/>
        <w:gridCol w:w="3487"/>
      </w:tblGrid>
      <w:tr w:rsidR="00AC3195" w:rsidTr="007C7688">
        <w:tc>
          <w:tcPr>
            <w:tcW w:w="10461" w:type="dxa"/>
            <w:gridSpan w:val="3"/>
            <w:shd w:val="clear" w:color="auto" w:fill="BDD6EE" w:themeFill="accent1" w:themeFillTint="66"/>
          </w:tcPr>
          <w:p w:rsidR="00AC3195" w:rsidRDefault="00AC3195" w:rsidP="003C24B2">
            <w:r>
              <w:t xml:space="preserve">2. Current attainment </w:t>
            </w:r>
          </w:p>
        </w:tc>
      </w:tr>
      <w:tr w:rsidR="007C7688" w:rsidTr="003C24B2">
        <w:tc>
          <w:tcPr>
            <w:tcW w:w="3487" w:type="dxa"/>
          </w:tcPr>
          <w:p w:rsidR="007C7688" w:rsidRDefault="007C7688" w:rsidP="003C24B2">
            <w:r>
              <w:t>Year 6</w:t>
            </w:r>
          </w:p>
        </w:tc>
        <w:tc>
          <w:tcPr>
            <w:tcW w:w="3487" w:type="dxa"/>
          </w:tcPr>
          <w:p w:rsidR="007C7688" w:rsidRDefault="007C7688" w:rsidP="003C24B2">
            <w:r>
              <w:t xml:space="preserve">Pupils eligible for PP </w:t>
            </w:r>
            <w:r w:rsidR="00B66B67">
              <w:t>(3</w:t>
            </w:r>
            <w:r w:rsidR="007518B6">
              <w:t>8)</w:t>
            </w:r>
          </w:p>
        </w:tc>
        <w:tc>
          <w:tcPr>
            <w:tcW w:w="3487" w:type="dxa"/>
          </w:tcPr>
          <w:p w:rsidR="007C7688" w:rsidRDefault="007C7688" w:rsidP="003C24B2">
            <w:r>
              <w:t xml:space="preserve">Non </w:t>
            </w:r>
            <w:r w:rsidR="007518B6">
              <w:t>–</w:t>
            </w:r>
            <w:r>
              <w:t xml:space="preserve"> PP</w:t>
            </w:r>
            <w:r w:rsidR="007518B6">
              <w:t xml:space="preserve"> (37)</w:t>
            </w:r>
          </w:p>
        </w:tc>
      </w:tr>
      <w:tr w:rsidR="007C7688" w:rsidTr="003C24B2">
        <w:tc>
          <w:tcPr>
            <w:tcW w:w="3487" w:type="dxa"/>
          </w:tcPr>
          <w:p w:rsidR="007C7688" w:rsidRDefault="007C7688" w:rsidP="003C24B2">
            <w:r>
              <w:t xml:space="preserve">Reading </w:t>
            </w:r>
          </w:p>
        </w:tc>
        <w:tc>
          <w:tcPr>
            <w:tcW w:w="3487" w:type="dxa"/>
          </w:tcPr>
          <w:p w:rsidR="007C7688" w:rsidRDefault="004318C1" w:rsidP="003C24B2">
            <w:r>
              <w:t>60</w:t>
            </w:r>
          </w:p>
        </w:tc>
        <w:tc>
          <w:tcPr>
            <w:tcW w:w="3487" w:type="dxa"/>
          </w:tcPr>
          <w:p w:rsidR="007C7688" w:rsidRDefault="007C7688" w:rsidP="003C24B2">
            <w:r>
              <w:t>7</w:t>
            </w:r>
            <w:r w:rsidR="004318C1">
              <w:t>8</w:t>
            </w:r>
          </w:p>
        </w:tc>
      </w:tr>
      <w:tr w:rsidR="007C7688" w:rsidTr="003C24B2">
        <w:tc>
          <w:tcPr>
            <w:tcW w:w="3487" w:type="dxa"/>
          </w:tcPr>
          <w:p w:rsidR="007C7688" w:rsidRDefault="007C7688" w:rsidP="003C24B2">
            <w:r>
              <w:t>Writing</w:t>
            </w:r>
          </w:p>
        </w:tc>
        <w:tc>
          <w:tcPr>
            <w:tcW w:w="3487" w:type="dxa"/>
          </w:tcPr>
          <w:p w:rsidR="007C7688" w:rsidRDefault="002932DC" w:rsidP="003C24B2">
            <w:r>
              <w:t>62</w:t>
            </w:r>
          </w:p>
        </w:tc>
        <w:tc>
          <w:tcPr>
            <w:tcW w:w="3487" w:type="dxa"/>
          </w:tcPr>
          <w:p w:rsidR="007C7688" w:rsidRDefault="007C7688" w:rsidP="003C24B2">
            <w:r>
              <w:t>82</w:t>
            </w:r>
          </w:p>
        </w:tc>
      </w:tr>
      <w:tr w:rsidR="007C7688" w:rsidTr="003C24B2">
        <w:tc>
          <w:tcPr>
            <w:tcW w:w="3487" w:type="dxa"/>
          </w:tcPr>
          <w:p w:rsidR="007C7688" w:rsidRDefault="007C7688" w:rsidP="003C24B2">
            <w:r>
              <w:t>Maths</w:t>
            </w:r>
          </w:p>
        </w:tc>
        <w:tc>
          <w:tcPr>
            <w:tcW w:w="3487" w:type="dxa"/>
          </w:tcPr>
          <w:p w:rsidR="007C7688" w:rsidRDefault="005E5607" w:rsidP="003C24B2">
            <w:r>
              <w:t>58</w:t>
            </w:r>
          </w:p>
        </w:tc>
        <w:tc>
          <w:tcPr>
            <w:tcW w:w="3487" w:type="dxa"/>
          </w:tcPr>
          <w:p w:rsidR="007C7688" w:rsidRDefault="007C7688" w:rsidP="003C24B2">
            <w:r>
              <w:t>8</w:t>
            </w:r>
            <w:r w:rsidR="005E5607">
              <w:t>4</w:t>
            </w:r>
          </w:p>
        </w:tc>
      </w:tr>
    </w:tbl>
    <w:p w:rsidR="00AC3195" w:rsidRDefault="00AC3195"/>
    <w:p w:rsidR="00AC3195" w:rsidRDefault="00AC3195"/>
    <w:p w:rsidR="007C7688" w:rsidRDefault="007C7688"/>
    <w:p w:rsidR="00FF7941" w:rsidRDefault="00FF7941"/>
    <w:p w:rsidR="00FF7941" w:rsidRDefault="00FF7941"/>
    <w:tbl>
      <w:tblPr>
        <w:tblStyle w:val="TableGrid"/>
        <w:tblW w:w="0" w:type="auto"/>
        <w:tblLook w:val="04A0" w:firstRow="1" w:lastRow="0" w:firstColumn="1" w:lastColumn="0" w:noHBand="0" w:noVBand="1"/>
      </w:tblPr>
      <w:tblGrid>
        <w:gridCol w:w="2478"/>
        <w:gridCol w:w="2411"/>
        <w:gridCol w:w="2369"/>
        <w:gridCol w:w="2230"/>
        <w:gridCol w:w="2230"/>
        <w:gridCol w:w="2230"/>
      </w:tblGrid>
      <w:tr w:rsidR="007C7688" w:rsidTr="00986695">
        <w:tc>
          <w:tcPr>
            <w:tcW w:w="13948" w:type="dxa"/>
            <w:gridSpan w:val="6"/>
            <w:shd w:val="clear" w:color="auto" w:fill="BDD6EE" w:themeFill="accent1" w:themeFillTint="66"/>
          </w:tcPr>
          <w:p w:rsidR="007C7688" w:rsidRDefault="007C7688">
            <w:r>
              <w:t>Barriers to future attainment (for pupils eligible for PP, including high ability)</w:t>
            </w:r>
          </w:p>
        </w:tc>
      </w:tr>
      <w:tr w:rsidR="007C7688" w:rsidTr="00F64195">
        <w:tc>
          <w:tcPr>
            <w:tcW w:w="13948" w:type="dxa"/>
            <w:gridSpan w:val="6"/>
          </w:tcPr>
          <w:p w:rsidR="007C7688" w:rsidRDefault="007C7688" w:rsidP="003C24B2">
            <w:pPr>
              <w:pStyle w:val="ListParagraph"/>
              <w:numPr>
                <w:ilvl w:val="0"/>
                <w:numId w:val="3"/>
              </w:numPr>
            </w:pPr>
            <w:r>
              <w:t>PP gap analysis shows that there is a gap in attendance ; PP – 94.58, Non PP – 9</w:t>
            </w:r>
            <w:r w:rsidR="00434F93">
              <w:t>5</w:t>
            </w:r>
            <w:r>
              <w:t>.78 %</w:t>
            </w:r>
          </w:p>
          <w:p w:rsidR="007C7688" w:rsidRDefault="007C7688" w:rsidP="003C24B2">
            <w:pPr>
              <w:pStyle w:val="ListParagraph"/>
              <w:numPr>
                <w:ilvl w:val="0"/>
                <w:numId w:val="3"/>
              </w:numPr>
            </w:pPr>
            <w:r>
              <w:t>PA for PP – 15.53 Non PP – 8.</w:t>
            </w:r>
            <w:r w:rsidR="008F7AA7">
              <w:t>78</w:t>
            </w:r>
            <w:r>
              <w:t xml:space="preserve"> </w:t>
            </w:r>
          </w:p>
          <w:p w:rsidR="00F87533" w:rsidRDefault="00F87533" w:rsidP="003C24B2">
            <w:pPr>
              <w:pStyle w:val="ListParagraph"/>
              <w:numPr>
                <w:ilvl w:val="0"/>
                <w:numId w:val="3"/>
              </w:numPr>
            </w:pPr>
            <w:r>
              <w:t>Poor literacy skills, including reading</w:t>
            </w:r>
          </w:p>
          <w:p w:rsidR="007C7688" w:rsidRDefault="007C7688" w:rsidP="0076227A">
            <w:pPr>
              <w:pStyle w:val="ListParagraph"/>
              <w:numPr>
                <w:ilvl w:val="0"/>
                <w:numId w:val="3"/>
              </w:numPr>
            </w:pPr>
            <w:r>
              <w:t>PP children have lower levels of oracy at their starting points</w:t>
            </w:r>
            <w:r w:rsidR="0022033F">
              <w:t xml:space="preserve">. </w:t>
            </w:r>
            <w:r w:rsidR="00907C3D">
              <w:t>This l</w:t>
            </w:r>
            <w:r w:rsidR="0022033F">
              <w:t>ea</w:t>
            </w:r>
            <w:r w:rsidR="00907C3D">
              <w:t>ds</w:t>
            </w:r>
            <w:r w:rsidR="0022033F">
              <w:t xml:space="preserve"> to poor reasoning and mathematical development</w:t>
            </w:r>
          </w:p>
          <w:p w:rsidR="007C7688" w:rsidRDefault="007C7688" w:rsidP="00FF2F32">
            <w:pPr>
              <w:pStyle w:val="ListParagraph"/>
              <w:numPr>
                <w:ilvl w:val="0"/>
                <w:numId w:val="3"/>
              </w:numPr>
            </w:pPr>
            <w:r>
              <w:t>There is a reading progress and attainment</w:t>
            </w:r>
          </w:p>
          <w:p w:rsidR="007C7688" w:rsidRDefault="007C7688" w:rsidP="007C7688">
            <w:pPr>
              <w:pStyle w:val="ListParagraph"/>
              <w:numPr>
                <w:ilvl w:val="0"/>
                <w:numId w:val="3"/>
              </w:numPr>
            </w:pPr>
            <w:r>
              <w:t xml:space="preserve">Children have reduced educational experiences and  have parents who are less engaged in </w:t>
            </w:r>
            <w:r w:rsidR="00FF2F32">
              <w:t xml:space="preserve">supporting </w:t>
            </w:r>
            <w:r>
              <w:t>learning</w:t>
            </w:r>
            <w:r w:rsidR="00FF2F32">
              <w:t xml:space="preserve"> at home</w:t>
            </w:r>
          </w:p>
        </w:tc>
      </w:tr>
      <w:tr w:rsidR="0076227A" w:rsidTr="003C24B2">
        <w:tc>
          <w:tcPr>
            <w:tcW w:w="13948" w:type="dxa"/>
            <w:gridSpan w:val="6"/>
            <w:shd w:val="clear" w:color="auto" w:fill="BDD6EE" w:themeFill="accent1" w:themeFillTint="66"/>
          </w:tcPr>
          <w:p w:rsidR="0076227A" w:rsidRDefault="0076227A" w:rsidP="0076227A">
            <w:pPr>
              <w:pStyle w:val="ListParagraph"/>
              <w:numPr>
                <w:ilvl w:val="0"/>
                <w:numId w:val="2"/>
              </w:numPr>
            </w:pPr>
            <w:r>
              <w:t>Desired outcomes</w:t>
            </w:r>
          </w:p>
        </w:tc>
      </w:tr>
      <w:tr w:rsidR="0076227A" w:rsidTr="003C24B2">
        <w:tc>
          <w:tcPr>
            <w:tcW w:w="13948" w:type="dxa"/>
            <w:gridSpan w:val="6"/>
          </w:tcPr>
          <w:p w:rsidR="003D406F" w:rsidRDefault="003D406F" w:rsidP="003D406F">
            <w:r>
              <w:t xml:space="preserve">Disadvantaged attendance and PA continues to improve and increased to bring it in line with national </w:t>
            </w:r>
          </w:p>
          <w:p w:rsidR="003D406F" w:rsidRDefault="0076227A" w:rsidP="003D406F">
            <w:r>
              <w:t xml:space="preserve">Disadvantaged children across the school will have accelerated progress to raise attainment bringing it closer to national non-PP data </w:t>
            </w:r>
          </w:p>
          <w:p w:rsidR="0076227A" w:rsidRDefault="0076227A" w:rsidP="003D406F">
            <w:r>
              <w:t xml:space="preserve">Y6 will have accelerated progress to raise attainment bringing it closer to national non-PP data </w:t>
            </w:r>
          </w:p>
        </w:tc>
      </w:tr>
      <w:tr w:rsidR="005F5EA0" w:rsidTr="005F5EA0">
        <w:tc>
          <w:tcPr>
            <w:tcW w:w="7258" w:type="dxa"/>
            <w:gridSpan w:val="3"/>
            <w:shd w:val="clear" w:color="auto" w:fill="DEEAF6" w:themeFill="accent1" w:themeFillTint="33"/>
          </w:tcPr>
          <w:p w:rsidR="005F5EA0" w:rsidRDefault="005F5EA0">
            <w:r>
              <w:t xml:space="preserve">Planned expenditure </w:t>
            </w:r>
          </w:p>
        </w:tc>
        <w:tc>
          <w:tcPr>
            <w:tcW w:w="2230" w:type="dxa"/>
            <w:shd w:val="clear" w:color="auto" w:fill="DEEAF6" w:themeFill="accent1" w:themeFillTint="33"/>
          </w:tcPr>
          <w:p w:rsidR="005F5EA0" w:rsidRDefault="005F5EA0"/>
        </w:tc>
        <w:tc>
          <w:tcPr>
            <w:tcW w:w="2230" w:type="dxa"/>
            <w:shd w:val="clear" w:color="auto" w:fill="DEEAF6" w:themeFill="accent1" w:themeFillTint="33"/>
          </w:tcPr>
          <w:p w:rsidR="005F5EA0" w:rsidRDefault="005F5EA0"/>
        </w:tc>
        <w:tc>
          <w:tcPr>
            <w:tcW w:w="2230" w:type="dxa"/>
            <w:shd w:val="clear" w:color="auto" w:fill="DEEAF6" w:themeFill="accent1" w:themeFillTint="33"/>
          </w:tcPr>
          <w:p w:rsidR="005F5EA0" w:rsidRDefault="005F5EA0"/>
        </w:tc>
      </w:tr>
      <w:tr w:rsidR="00FB785A" w:rsidTr="003C24B2">
        <w:tc>
          <w:tcPr>
            <w:tcW w:w="13948" w:type="dxa"/>
            <w:gridSpan w:val="6"/>
          </w:tcPr>
          <w:p w:rsidR="00FB785A" w:rsidRPr="009E2469" w:rsidRDefault="009E2469" w:rsidP="008B0497">
            <w:pPr>
              <w:pStyle w:val="ListParagraph"/>
              <w:numPr>
                <w:ilvl w:val="0"/>
                <w:numId w:val="5"/>
              </w:numPr>
              <w:rPr>
                <w:b/>
              </w:rPr>
            </w:pPr>
            <w:r w:rsidRPr="009E2469">
              <w:rPr>
                <w:b/>
              </w:rPr>
              <w:t>Quality first</w:t>
            </w:r>
            <w:r w:rsidR="00FB785A" w:rsidRPr="009E2469">
              <w:rPr>
                <w:b/>
              </w:rPr>
              <w:t xml:space="preserve"> teaching for all</w:t>
            </w:r>
            <w:r w:rsidR="00FB785A" w:rsidRPr="009E2469">
              <w:rPr>
                <w:b/>
              </w:rPr>
              <w:tab/>
            </w:r>
            <w:r w:rsidR="00FB785A" w:rsidRPr="009E2469">
              <w:rPr>
                <w:b/>
              </w:rPr>
              <w:tab/>
            </w:r>
          </w:p>
        </w:tc>
      </w:tr>
      <w:tr w:rsidR="005F5EA0" w:rsidTr="005F5EA0">
        <w:tc>
          <w:tcPr>
            <w:tcW w:w="2478" w:type="dxa"/>
          </w:tcPr>
          <w:p w:rsidR="005F5EA0" w:rsidRDefault="00B04F84">
            <w:r>
              <w:t>Current</w:t>
            </w:r>
          </w:p>
        </w:tc>
        <w:tc>
          <w:tcPr>
            <w:tcW w:w="2411" w:type="dxa"/>
          </w:tcPr>
          <w:p w:rsidR="005F5EA0" w:rsidRDefault="00F0756C">
            <w:r>
              <w:t>Actions</w:t>
            </w:r>
            <w:r w:rsidR="008B053B">
              <w:t xml:space="preserve"> and interventions</w:t>
            </w:r>
          </w:p>
        </w:tc>
        <w:tc>
          <w:tcPr>
            <w:tcW w:w="2369" w:type="dxa"/>
          </w:tcPr>
          <w:p w:rsidR="005F5EA0" w:rsidRDefault="00F230D0" w:rsidP="00B04F84">
            <w:r>
              <w:t>What is the evidence and rationale for this?</w:t>
            </w:r>
          </w:p>
        </w:tc>
        <w:tc>
          <w:tcPr>
            <w:tcW w:w="2230" w:type="dxa"/>
          </w:tcPr>
          <w:p w:rsidR="005F5EA0" w:rsidRDefault="00F230D0">
            <w:r>
              <w:t xml:space="preserve">Measuring and monitoring </w:t>
            </w:r>
          </w:p>
        </w:tc>
        <w:tc>
          <w:tcPr>
            <w:tcW w:w="2230" w:type="dxa"/>
          </w:tcPr>
          <w:p w:rsidR="005F5EA0" w:rsidRDefault="00F230D0">
            <w:r>
              <w:t>Staff lead</w:t>
            </w:r>
          </w:p>
        </w:tc>
        <w:tc>
          <w:tcPr>
            <w:tcW w:w="2230" w:type="dxa"/>
          </w:tcPr>
          <w:p w:rsidR="005F5EA0" w:rsidRDefault="00FF2F32">
            <w:r>
              <w:t>Cost:</w:t>
            </w:r>
          </w:p>
        </w:tc>
      </w:tr>
      <w:tr w:rsidR="005F5EA0" w:rsidTr="005F5EA0">
        <w:tc>
          <w:tcPr>
            <w:tcW w:w="2478" w:type="dxa"/>
          </w:tcPr>
          <w:p w:rsidR="005F5EA0" w:rsidRDefault="00FE1D64">
            <w:r>
              <w:t>There is a trend that PP attainment is lower than non- PP attainment in combined measure across school</w:t>
            </w:r>
          </w:p>
        </w:tc>
        <w:tc>
          <w:tcPr>
            <w:tcW w:w="2411" w:type="dxa"/>
          </w:tcPr>
          <w:p w:rsidR="005F5EA0" w:rsidRDefault="00FE1D64">
            <w:r>
              <w:t>Quality fir</w:t>
            </w:r>
            <w:r w:rsidR="00582280">
              <w:t>st teaching</w:t>
            </w:r>
            <w:r w:rsidR="00A3680B">
              <w:t xml:space="preserve"> for all pupils</w:t>
            </w:r>
            <w:r w:rsidR="00582280">
              <w:t xml:space="preserve"> in the classroom based</w:t>
            </w:r>
            <w:r w:rsidR="00D87124">
              <w:t xml:space="preserve"> around collaborative learning </w:t>
            </w:r>
            <w:r w:rsidR="00034CCE">
              <w:t>aims, Visible learning and the Teaching Toolkit.</w:t>
            </w:r>
          </w:p>
          <w:p w:rsidR="00582280" w:rsidRDefault="00582280">
            <w:r>
              <w:t xml:space="preserve">Disadvantaged children to be discussed as a priority at Pupil Progress Meetings each term. </w:t>
            </w:r>
          </w:p>
          <w:p w:rsidR="00A3680B" w:rsidRDefault="00A3680B" w:rsidP="00A3680B">
            <w:r>
              <w:t xml:space="preserve">Improved observed teaching </w:t>
            </w:r>
          </w:p>
          <w:p w:rsidR="00A3680B" w:rsidRDefault="00A3680B" w:rsidP="00A3680B">
            <w:r>
              <w:t>High level of effective question and answering in class</w:t>
            </w:r>
          </w:p>
          <w:p w:rsidR="00A3680B" w:rsidRDefault="00A3680B" w:rsidP="00A3680B">
            <w:r>
              <w:t xml:space="preserve">High level of marking and feedback </w:t>
            </w:r>
          </w:p>
          <w:p w:rsidR="00A3680B" w:rsidRDefault="00A3680B" w:rsidP="00A3680B">
            <w:r>
              <w:t>High level of challenge and engagement</w:t>
            </w:r>
          </w:p>
          <w:p w:rsidR="00A3680B" w:rsidRDefault="00A3680B" w:rsidP="00A3680B">
            <w:r>
              <w:t>Continued CPD</w:t>
            </w:r>
          </w:p>
          <w:p w:rsidR="00A3680B" w:rsidRDefault="00A3680B"/>
          <w:p w:rsidR="00582280" w:rsidRDefault="00582280"/>
        </w:tc>
        <w:tc>
          <w:tcPr>
            <w:tcW w:w="2369" w:type="dxa"/>
          </w:tcPr>
          <w:p w:rsidR="005F5EA0" w:rsidRDefault="000409C9">
            <w:r>
              <w:t>Collaborative learning research</w:t>
            </w:r>
          </w:p>
          <w:p w:rsidR="000409C9" w:rsidRDefault="000409C9">
            <w:r>
              <w:t>Growth Mindset</w:t>
            </w:r>
            <w:r w:rsidR="00B04F84">
              <w:t xml:space="preserve"> research from Carol Dweck looks at the power of language with children. </w:t>
            </w:r>
          </w:p>
          <w:p w:rsidR="000409C9" w:rsidRDefault="000409C9">
            <w:r>
              <w:t>Metacognition approaches (to be introduced</w:t>
            </w:r>
            <w:r w:rsidR="00D87124">
              <w:t xml:space="preserve"> at staff training 2018-19)</w:t>
            </w:r>
          </w:p>
        </w:tc>
        <w:tc>
          <w:tcPr>
            <w:tcW w:w="2230" w:type="dxa"/>
          </w:tcPr>
          <w:p w:rsidR="0038445C" w:rsidRDefault="0038445C" w:rsidP="0038445C">
            <w:r>
              <w:t>PPMs</w:t>
            </w:r>
          </w:p>
          <w:p w:rsidR="0038445C" w:rsidRDefault="0038445C" w:rsidP="0038445C">
            <w:r>
              <w:t>PPA</w:t>
            </w:r>
          </w:p>
          <w:p w:rsidR="005F5EA0" w:rsidRDefault="0038445C" w:rsidP="0038445C">
            <w:r>
              <w:t>PUMA gap analysis</w:t>
            </w:r>
          </w:p>
          <w:p w:rsidR="00A3680B" w:rsidRDefault="00A3680B" w:rsidP="0038445C"/>
          <w:p w:rsidR="00A3680B" w:rsidRDefault="00A3680B" w:rsidP="00A3680B">
            <w:r w:rsidRPr="00A3680B">
              <w:t xml:space="preserve">Learning walks/observations </w:t>
            </w:r>
          </w:p>
        </w:tc>
        <w:tc>
          <w:tcPr>
            <w:tcW w:w="2230" w:type="dxa"/>
          </w:tcPr>
          <w:p w:rsidR="005F5EA0" w:rsidRDefault="00BB00C0">
            <w:r>
              <w:t>Class teachers</w:t>
            </w:r>
          </w:p>
          <w:p w:rsidR="00BB00C0" w:rsidRDefault="00BB00C0">
            <w:r>
              <w:t>PP champions</w:t>
            </w:r>
          </w:p>
        </w:tc>
        <w:tc>
          <w:tcPr>
            <w:tcW w:w="2230" w:type="dxa"/>
          </w:tcPr>
          <w:p w:rsidR="0038445C" w:rsidRDefault="0038445C"/>
        </w:tc>
      </w:tr>
      <w:tr w:rsidR="005F5EA0" w:rsidTr="005F5EA0">
        <w:tc>
          <w:tcPr>
            <w:tcW w:w="2478" w:type="dxa"/>
          </w:tcPr>
          <w:p w:rsidR="005F5EA0" w:rsidRDefault="009E2469">
            <w:r>
              <w:t>PP gap</w:t>
            </w:r>
            <w:r w:rsidR="00185C87">
              <w:t xml:space="preserve"> and challenge for MA PP</w:t>
            </w:r>
          </w:p>
        </w:tc>
        <w:tc>
          <w:tcPr>
            <w:tcW w:w="2411" w:type="dxa"/>
          </w:tcPr>
          <w:p w:rsidR="005F5EA0" w:rsidRDefault="00BB00C0">
            <w:r>
              <w:t xml:space="preserve">New tracking system Insight purchased. </w:t>
            </w:r>
          </w:p>
          <w:p w:rsidR="006A085A" w:rsidRDefault="00135B99">
            <w:r>
              <w:t xml:space="preserve">Maths lead </w:t>
            </w:r>
            <w:r w:rsidR="009024E2">
              <w:t xml:space="preserve">creates a gap analysis for each teacher after PUMA tests. </w:t>
            </w:r>
          </w:p>
          <w:p w:rsidR="006A085A" w:rsidRDefault="006A085A">
            <w:r>
              <w:t>During PPA year group leads look at planning and feedback</w:t>
            </w:r>
          </w:p>
          <w:p w:rsidR="00E4674C" w:rsidRDefault="00E4674C">
            <w:r>
              <w:t xml:space="preserve">Rising aspiration through </w:t>
            </w:r>
            <w:r w:rsidR="002B54AC">
              <w:t>Enabling Enterprise and Brilliant Club.</w:t>
            </w:r>
          </w:p>
        </w:tc>
        <w:tc>
          <w:tcPr>
            <w:tcW w:w="2369" w:type="dxa"/>
          </w:tcPr>
          <w:p w:rsidR="005F5EA0" w:rsidRDefault="00B04B48">
            <w:r>
              <w:t xml:space="preserve">Teachers use their PPM analysis to identify target children. Teachers evaluate the impact of strategies </w:t>
            </w:r>
            <w:r w:rsidR="003F4C1B">
              <w:t>used with specific groups and next steps</w:t>
            </w:r>
            <w:r w:rsidR="0081662B">
              <w:t>- AfL.</w:t>
            </w:r>
          </w:p>
          <w:p w:rsidR="00E6606C" w:rsidRDefault="00E6606C">
            <w:r>
              <w:t>Growth Mindset</w:t>
            </w:r>
          </w:p>
        </w:tc>
        <w:tc>
          <w:tcPr>
            <w:tcW w:w="2230" w:type="dxa"/>
          </w:tcPr>
          <w:p w:rsidR="005F5EA0" w:rsidRDefault="0081662B">
            <w:r>
              <w:t>PPMs</w:t>
            </w:r>
          </w:p>
          <w:p w:rsidR="0081662B" w:rsidRDefault="0081662B">
            <w:r>
              <w:t>PPA</w:t>
            </w:r>
          </w:p>
          <w:p w:rsidR="0081662B" w:rsidRDefault="0081662B">
            <w:r>
              <w:t>PUMA</w:t>
            </w:r>
            <w:r w:rsidR="00F744D2">
              <w:t>/PIRA</w:t>
            </w:r>
            <w:r>
              <w:t xml:space="preserve"> gap analysis</w:t>
            </w:r>
          </w:p>
        </w:tc>
        <w:tc>
          <w:tcPr>
            <w:tcW w:w="2230" w:type="dxa"/>
          </w:tcPr>
          <w:p w:rsidR="005F5EA0" w:rsidRDefault="00F03571">
            <w:r>
              <w:t>SLT/LT</w:t>
            </w:r>
          </w:p>
        </w:tc>
        <w:tc>
          <w:tcPr>
            <w:tcW w:w="2230" w:type="dxa"/>
          </w:tcPr>
          <w:p w:rsidR="005F5EA0" w:rsidRDefault="006B6619">
            <w:r>
              <w:t>Cost:</w:t>
            </w:r>
          </w:p>
        </w:tc>
      </w:tr>
      <w:tr w:rsidR="0026197B" w:rsidTr="005F5EA0">
        <w:tc>
          <w:tcPr>
            <w:tcW w:w="2478" w:type="dxa"/>
          </w:tcPr>
          <w:p w:rsidR="0026197B" w:rsidRDefault="00375F20">
            <w:r>
              <w:t xml:space="preserve">PP children have lower reading levels and make slower progress </w:t>
            </w:r>
          </w:p>
          <w:p w:rsidR="00375F20" w:rsidRDefault="00375F20"/>
        </w:tc>
        <w:tc>
          <w:tcPr>
            <w:tcW w:w="2411" w:type="dxa"/>
          </w:tcPr>
          <w:p w:rsidR="00C9131E" w:rsidRDefault="00C9131E">
            <w:r>
              <w:t>Continued CPD for reading hats (See English Action Plan)</w:t>
            </w:r>
            <w:r w:rsidR="0001207A">
              <w:t>. Hub have specific responsibilities</w:t>
            </w:r>
          </w:p>
          <w:p w:rsidR="0001207A" w:rsidRDefault="0001207A">
            <w:r>
              <w:t>Monitoring cycle completed by English Hub</w:t>
            </w:r>
          </w:p>
          <w:p w:rsidR="0001207A" w:rsidRDefault="0001207A">
            <w:r>
              <w:lastRenderedPageBreak/>
              <w:t>A focus on reading weekly with PP children</w:t>
            </w:r>
          </w:p>
          <w:p w:rsidR="0038445C" w:rsidRDefault="0038445C">
            <w:r>
              <w:t>Workshop for parents</w:t>
            </w:r>
          </w:p>
          <w:p w:rsidR="0001207A" w:rsidRDefault="0001207A">
            <w:r>
              <w:t>Focus during PPM</w:t>
            </w:r>
          </w:p>
          <w:p w:rsidR="00D64856" w:rsidRDefault="00D64856">
            <w:r>
              <w:t xml:space="preserve">Year 9 reading buddies for </w:t>
            </w:r>
            <w:r w:rsidR="005075A6">
              <w:t>OC pupils</w:t>
            </w:r>
          </w:p>
          <w:p w:rsidR="00364DCE" w:rsidRDefault="00364DCE" w:rsidP="00364DCE">
            <w:r>
              <w:t>A-Z Literacy intervention</w:t>
            </w:r>
          </w:p>
          <w:p w:rsidR="00364DCE" w:rsidRDefault="00364DCE" w:rsidP="00364DCE">
            <w:r>
              <w:t>BRP</w:t>
            </w:r>
          </w:p>
          <w:p w:rsidR="00364DCE" w:rsidRDefault="00364DCE" w:rsidP="00364DCE">
            <w:r>
              <w:t>Boys Reading Project</w:t>
            </w:r>
          </w:p>
          <w:p w:rsidR="00364DCE" w:rsidRDefault="00364DCE" w:rsidP="00364DCE">
            <w:r>
              <w:t>Switch pm</w:t>
            </w:r>
          </w:p>
          <w:p w:rsidR="00364DCE" w:rsidRDefault="00364DCE" w:rsidP="00364DCE">
            <w:r>
              <w:t>Bug Club</w:t>
            </w:r>
          </w:p>
          <w:p w:rsidR="005075A6" w:rsidRDefault="005075A6" w:rsidP="00364DCE">
            <w:r>
              <w:t>Reading Wise</w:t>
            </w:r>
          </w:p>
          <w:p w:rsidR="005075A6" w:rsidRDefault="005075A6">
            <w:r>
              <w:t>Reading Eggs</w:t>
            </w:r>
          </w:p>
          <w:p w:rsidR="005075A6" w:rsidRDefault="005075A6">
            <w:r>
              <w:t>Brilliant Club – children researching articles and reading above their reading age</w:t>
            </w:r>
          </w:p>
          <w:p w:rsidR="00B32BFA" w:rsidRDefault="00B32BFA">
            <w:r>
              <w:t xml:space="preserve">Bedtime stories for Reception </w:t>
            </w:r>
          </w:p>
          <w:p w:rsidR="001226B3" w:rsidRDefault="001226B3">
            <w:r>
              <w:t>Reading Recovery</w:t>
            </w:r>
            <w:r w:rsidR="00364DCE">
              <w:t xml:space="preserve"> programme x 2 teachers</w:t>
            </w:r>
          </w:p>
          <w:p w:rsidR="00364DCE" w:rsidRDefault="00364DCE">
            <w:r>
              <w:t>Reading gladiators y2,4,6</w:t>
            </w:r>
          </w:p>
          <w:p w:rsidR="00364DCE" w:rsidRDefault="001226B3">
            <w:r>
              <w:t>Reading clubs</w:t>
            </w:r>
            <w:r w:rsidR="00DD0AD4">
              <w:br/>
              <w:t>Reading Wise (See impact above)</w:t>
            </w:r>
            <w:r w:rsidR="00364DCE">
              <w:br/>
              <w:t>Dedicated and targeted parent classes</w:t>
            </w:r>
          </w:p>
          <w:p w:rsidR="00364DCE" w:rsidRDefault="00364DCE" w:rsidP="00364DCE">
            <w:r>
              <w:t>Improving reading resources for KS 2 reading and also for struggling readers and those new to English</w:t>
            </w:r>
          </w:p>
          <w:p w:rsidR="00364DCE" w:rsidRDefault="00364DCE" w:rsidP="00364DCE">
            <w:r>
              <w:t>Inference</w:t>
            </w:r>
          </w:p>
          <w:p w:rsidR="00364DCE" w:rsidRDefault="00364DCE" w:rsidP="00364DCE">
            <w:r>
              <w:t>comprehension</w:t>
            </w:r>
          </w:p>
        </w:tc>
        <w:tc>
          <w:tcPr>
            <w:tcW w:w="2369" w:type="dxa"/>
          </w:tcPr>
          <w:p w:rsidR="0026197B" w:rsidRDefault="0001207A">
            <w:r>
              <w:lastRenderedPageBreak/>
              <w:t xml:space="preserve">Education Endowment Fund </w:t>
            </w:r>
            <w:r w:rsidR="005A45A8">
              <w:t>(EEF):</w:t>
            </w:r>
          </w:p>
          <w:p w:rsidR="005A45A8" w:rsidRDefault="005A45A8">
            <w:r>
              <w:t>On average, reading comprehension improve learning by an additional 5 months progress over the course of the year</w:t>
            </w:r>
            <w:r w:rsidR="003E238B">
              <w:t xml:space="preserve">. </w:t>
            </w:r>
            <w:r w:rsidR="003E238B">
              <w:lastRenderedPageBreak/>
              <w:t>Comprehension strategies appear to b</w:t>
            </w:r>
            <w:r w:rsidR="00D64856">
              <w:t xml:space="preserve">e particularly effective for older readers (aged 8 and above) who are not making expected progress. </w:t>
            </w:r>
          </w:p>
        </w:tc>
        <w:tc>
          <w:tcPr>
            <w:tcW w:w="2230" w:type="dxa"/>
          </w:tcPr>
          <w:p w:rsidR="00F744D2" w:rsidRDefault="00F744D2" w:rsidP="00F744D2">
            <w:r>
              <w:lastRenderedPageBreak/>
              <w:t>PPMs</w:t>
            </w:r>
          </w:p>
          <w:p w:rsidR="00F744D2" w:rsidRDefault="00F744D2" w:rsidP="00F744D2">
            <w:r>
              <w:t>PPA</w:t>
            </w:r>
          </w:p>
          <w:p w:rsidR="0026197B" w:rsidRDefault="00F744D2" w:rsidP="00F744D2">
            <w:r>
              <w:t>PIRA gap analysis</w:t>
            </w:r>
          </w:p>
        </w:tc>
        <w:tc>
          <w:tcPr>
            <w:tcW w:w="2230" w:type="dxa"/>
          </w:tcPr>
          <w:p w:rsidR="0026197B" w:rsidRDefault="00F03571">
            <w:r>
              <w:t>SLT</w:t>
            </w:r>
          </w:p>
        </w:tc>
        <w:tc>
          <w:tcPr>
            <w:tcW w:w="2230" w:type="dxa"/>
          </w:tcPr>
          <w:p w:rsidR="00A33943" w:rsidRDefault="00A33943" w:rsidP="00A33943">
            <w:r>
              <w:t>Cost: £40, 000</w:t>
            </w:r>
          </w:p>
          <w:p w:rsidR="00A33943" w:rsidRDefault="00A33943" w:rsidP="00A33943"/>
          <w:p w:rsidR="0026197B" w:rsidRDefault="00A33943" w:rsidP="00A33943">
            <w:r>
              <w:t>(11%)</w:t>
            </w:r>
          </w:p>
        </w:tc>
      </w:tr>
      <w:tr w:rsidR="00364DCE" w:rsidTr="005F5EA0">
        <w:tc>
          <w:tcPr>
            <w:tcW w:w="2478" w:type="dxa"/>
          </w:tcPr>
          <w:p w:rsidR="00364DCE" w:rsidRDefault="00364DCE">
            <w:r>
              <w:t>PP gap in maths</w:t>
            </w:r>
          </w:p>
        </w:tc>
        <w:tc>
          <w:tcPr>
            <w:tcW w:w="2411" w:type="dxa"/>
          </w:tcPr>
          <w:p w:rsidR="00364DCE" w:rsidRDefault="00364DCE">
            <w:pPr>
              <w:rPr>
                <w:rFonts w:ascii="Arial" w:hAnsi="Arial" w:cs="Arial"/>
                <w:sz w:val="20"/>
              </w:rPr>
            </w:pPr>
            <w:r>
              <w:rPr>
                <w:rFonts w:ascii="Arial" w:hAnsi="Arial" w:cs="Arial"/>
                <w:sz w:val="20"/>
              </w:rPr>
              <w:t>T</w:t>
            </w:r>
            <w:r w:rsidRPr="005D6FDD">
              <w:rPr>
                <w:rFonts w:ascii="Arial" w:hAnsi="Arial" w:cs="Arial"/>
                <w:sz w:val="20"/>
              </w:rPr>
              <w:t xml:space="preserve">argeted catch up programme for Maths </w:t>
            </w:r>
            <w:r>
              <w:rPr>
                <w:rFonts w:ascii="Arial" w:hAnsi="Arial" w:cs="Arial"/>
                <w:sz w:val="20"/>
              </w:rPr>
              <w:t>across years R</w:t>
            </w:r>
            <w:r w:rsidRPr="005D6FDD">
              <w:rPr>
                <w:rFonts w:ascii="Arial" w:hAnsi="Arial" w:cs="Arial"/>
                <w:sz w:val="20"/>
              </w:rPr>
              <w:t>-6</w:t>
            </w:r>
          </w:p>
          <w:p w:rsidR="008B053B" w:rsidRPr="008B053B" w:rsidRDefault="008B053B" w:rsidP="008B053B">
            <w:pPr>
              <w:rPr>
                <w:rFonts w:ascii="Arial" w:hAnsi="Arial" w:cs="Arial"/>
                <w:sz w:val="20"/>
              </w:rPr>
            </w:pPr>
            <w:r w:rsidRPr="008B053B">
              <w:rPr>
                <w:rFonts w:ascii="Arial" w:hAnsi="Arial" w:cs="Arial"/>
                <w:sz w:val="20"/>
              </w:rPr>
              <w:t>Mathletics</w:t>
            </w:r>
          </w:p>
          <w:p w:rsidR="008B053B" w:rsidRPr="008B053B" w:rsidRDefault="008B053B" w:rsidP="008B053B">
            <w:pPr>
              <w:rPr>
                <w:rFonts w:ascii="Arial" w:hAnsi="Arial" w:cs="Arial"/>
                <w:sz w:val="20"/>
              </w:rPr>
            </w:pPr>
            <w:r w:rsidRPr="008B053B">
              <w:rPr>
                <w:rFonts w:ascii="Arial" w:hAnsi="Arial" w:cs="Arial"/>
                <w:sz w:val="20"/>
              </w:rPr>
              <w:t>Timestables rockstars</w:t>
            </w:r>
          </w:p>
          <w:p w:rsidR="008B053B" w:rsidRPr="008B053B" w:rsidRDefault="008B053B" w:rsidP="008B053B">
            <w:pPr>
              <w:rPr>
                <w:rFonts w:ascii="Arial" w:hAnsi="Arial" w:cs="Arial"/>
                <w:sz w:val="20"/>
              </w:rPr>
            </w:pPr>
            <w:r w:rsidRPr="008B053B">
              <w:rPr>
                <w:rFonts w:ascii="Arial" w:hAnsi="Arial" w:cs="Arial"/>
                <w:sz w:val="20"/>
              </w:rPr>
              <w:t xml:space="preserve">Additional maths support </w:t>
            </w:r>
          </w:p>
          <w:p w:rsidR="008B053B" w:rsidRPr="008B053B" w:rsidRDefault="008B053B" w:rsidP="008B053B">
            <w:pPr>
              <w:rPr>
                <w:rFonts w:ascii="Arial" w:hAnsi="Arial" w:cs="Arial"/>
                <w:sz w:val="20"/>
              </w:rPr>
            </w:pPr>
            <w:r w:rsidRPr="008B053B">
              <w:rPr>
                <w:rFonts w:ascii="Arial" w:hAnsi="Arial" w:cs="Arial"/>
                <w:sz w:val="20"/>
              </w:rPr>
              <w:t>Third space learning</w:t>
            </w:r>
          </w:p>
          <w:p w:rsidR="008B053B" w:rsidRPr="008B053B" w:rsidRDefault="008B053B" w:rsidP="008B053B">
            <w:pPr>
              <w:rPr>
                <w:rFonts w:ascii="Arial" w:hAnsi="Arial" w:cs="Arial"/>
                <w:sz w:val="20"/>
              </w:rPr>
            </w:pPr>
            <w:r w:rsidRPr="008B053B">
              <w:rPr>
                <w:rFonts w:ascii="Arial" w:hAnsi="Arial" w:cs="Arial"/>
                <w:sz w:val="20"/>
              </w:rPr>
              <w:t>Gap busting</w:t>
            </w:r>
          </w:p>
          <w:p w:rsidR="008B053B" w:rsidRDefault="008B053B" w:rsidP="008B053B">
            <w:pPr>
              <w:rPr>
                <w:rFonts w:ascii="Arial" w:hAnsi="Arial" w:cs="Arial"/>
                <w:sz w:val="20"/>
              </w:rPr>
            </w:pPr>
            <w:r w:rsidRPr="008B053B">
              <w:rPr>
                <w:rFonts w:ascii="Arial" w:hAnsi="Arial" w:cs="Arial"/>
                <w:sz w:val="20"/>
              </w:rPr>
              <w:t>Fluency lessons</w:t>
            </w:r>
          </w:p>
          <w:p w:rsidR="00364DCE" w:rsidRDefault="00364DCE"/>
        </w:tc>
        <w:tc>
          <w:tcPr>
            <w:tcW w:w="2369" w:type="dxa"/>
          </w:tcPr>
          <w:p w:rsidR="00364DCE" w:rsidRDefault="008B053B">
            <w:r>
              <w:t xml:space="preserve">Targeted support in maths with a focus on gap analysis to support learners </w:t>
            </w:r>
          </w:p>
        </w:tc>
        <w:tc>
          <w:tcPr>
            <w:tcW w:w="2230" w:type="dxa"/>
          </w:tcPr>
          <w:p w:rsidR="00F744D2" w:rsidRDefault="00F744D2" w:rsidP="00F744D2">
            <w:r>
              <w:t>PPMs</w:t>
            </w:r>
          </w:p>
          <w:p w:rsidR="00F744D2" w:rsidRDefault="00F744D2" w:rsidP="00F744D2">
            <w:r>
              <w:t>PPA</w:t>
            </w:r>
          </w:p>
          <w:p w:rsidR="00364DCE" w:rsidRDefault="00F744D2" w:rsidP="00F744D2">
            <w:r>
              <w:t>PUMA gap analysis</w:t>
            </w:r>
          </w:p>
        </w:tc>
        <w:tc>
          <w:tcPr>
            <w:tcW w:w="2230" w:type="dxa"/>
          </w:tcPr>
          <w:p w:rsidR="00364DCE" w:rsidRDefault="00364DCE"/>
        </w:tc>
        <w:tc>
          <w:tcPr>
            <w:tcW w:w="2230" w:type="dxa"/>
          </w:tcPr>
          <w:p w:rsidR="00364DCE" w:rsidRDefault="00F744D2">
            <w:r>
              <w:t>Cost:</w:t>
            </w:r>
          </w:p>
          <w:p w:rsidR="00F744D2" w:rsidRDefault="00F744D2">
            <w:r>
              <w:t>35 000</w:t>
            </w:r>
          </w:p>
          <w:p w:rsidR="00F744D2" w:rsidRDefault="00F744D2">
            <w:r>
              <w:t>(10 %)</w:t>
            </w:r>
          </w:p>
        </w:tc>
      </w:tr>
      <w:tr w:rsidR="005075A6" w:rsidTr="005F5EA0">
        <w:tc>
          <w:tcPr>
            <w:tcW w:w="2478" w:type="dxa"/>
          </w:tcPr>
          <w:p w:rsidR="005075A6" w:rsidRDefault="00B32BFA">
            <w:r>
              <w:t>PP gap analysis could be due to reduced educational experience and parental</w:t>
            </w:r>
            <w:r w:rsidR="00EE1A33">
              <w:t>/carer</w:t>
            </w:r>
            <w:r>
              <w:t xml:space="preserve"> engagement </w:t>
            </w:r>
          </w:p>
        </w:tc>
        <w:tc>
          <w:tcPr>
            <w:tcW w:w="2411" w:type="dxa"/>
          </w:tcPr>
          <w:p w:rsidR="005075A6" w:rsidRDefault="001226B3">
            <w:r>
              <w:t>Book week including visits from authors</w:t>
            </w:r>
          </w:p>
          <w:p w:rsidR="001226B3" w:rsidRDefault="001226B3">
            <w:r>
              <w:t>A range of educational experiences across school</w:t>
            </w:r>
          </w:p>
          <w:p w:rsidR="001226B3" w:rsidRDefault="001226B3">
            <w:r>
              <w:t>Brilliant Club targets PP children – children taken to local university and have 5 sessions with a PHD student. Children write an essay and get graded using university gradings.</w:t>
            </w:r>
          </w:p>
          <w:p w:rsidR="002608B9" w:rsidRDefault="001226B3">
            <w:r>
              <w:t xml:space="preserve">Bedtime stories to engage </w:t>
            </w:r>
            <w:r w:rsidR="00673AED">
              <w:t xml:space="preserve">parents early in Reception. </w:t>
            </w:r>
          </w:p>
          <w:p w:rsidR="008C4ABC" w:rsidRDefault="008C4ABC">
            <w:r>
              <w:t xml:space="preserve">Attendance prizes to engage pupils </w:t>
            </w:r>
          </w:p>
          <w:p w:rsidR="008C4ABC" w:rsidRDefault="008C4ABC">
            <w:r>
              <w:t xml:space="preserve">Bristol Zoo workshops x1 a year based around the Animal topic </w:t>
            </w:r>
          </w:p>
          <w:p w:rsidR="008C4ABC" w:rsidRDefault="008C4ABC">
            <w:r>
              <w:t>Enabling Enterprise</w:t>
            </w:r>
          </w:p>
          <w:p w:rsidR="00DA6511" w:rsidRDefault="00DA6511">
            <w:r>
              <w:t>School Reading Challenges and tea with English Lead</w:t>
            </w:r>
          </w:p>
          <w:p w:rsidR="00CE0B66" w:rsidRDefault="00CE0B66">
            <w:r>
              <w:t xml:space="preserve">Improve provision at break and lunch through </w:t>
            </w:r>
            <w:r w:rsidR="004847C1">
              <w:lastRenderedPageBreak/>
              <w:t>PLAYPOD – indoor play plan?</w:t>
            </w:r>
          </w:p>
          <w:p w:rsidR="004847C1" w:rsidRDefault="004847C1">
            <w:r>
              <w:t>Children’s University</w:t>
            </w:r>
          </w:p>
        </w:tc>
        <w:tc>
          <w:tcPr>
            <w:tcW w:w="2369" w:type="dxa"/>
          </w:tcPr>
          <w:p w:rsidR="00691FAE" w:rsidRDefault="00DA6511">
            <w:r>
              <w:lastRenderedPageBreak/>
              <w:t>Evidenc</w:t>
            </w:r>
            <w:r w:rsidR="00EE1A33">
              <w:t>e suggests that children that read every day perform better in reading tests but also develop a broader vocabulary. Increased general knowledge.</w:t>
            </w:r>
          </w:p>
          <w:p w:rsidR="00EE1A33" w:rsidRDefault="00EE1A33">
            <w:r>
              <w:t>Parent/carers are key in encouraging children to read</w:t>
            </w:r>
            <w:r w:rsidR="00BC2350">
              <w:t>.</w:t>
            </w:r>
          </w:p>
          <w:p w:rsidR="00BC2350" w:rsidRDefault="00BC2350">
            <w:r>
              <w:t>We need to provide PP children he opportunity to be surrounded by books and to ensure the library and classroom are well resourced.</w:t>
            </w:r>
          </w:p>
          <w:p w:rsidR="004847C1" w:rsidRDefault="004847C1">
            <w:r>
              <w:t>By providing rich varied activities for children to engage in on the playground this will enable appropriate interactions</w:t>
            </w:r>
          </w:p>
        </w:tc>
        <w:tc>
          <w:tcPr>
            <w:tcW w:w="2230" w:type="dxa"/>
          </w:tcPr>
          <w:p w:rsidR="005075A6" w:rsidRDefault="00BC2350">
            <w:r>
              <w:t>Pupil Voice</w:t>
            </w:r>
          </w:p>
          <w:p w:rsidR="00BC2350" w:rsidRDefault="00BC2350">
            <w:r>
              <w:t xml:space="preserve">Learning Walks </w:t>
            </w:r>
            <w:r w:rsidR="0028268D">
              <w:t xml:space="preserve"> conducted by English Hub</w:t>
            </w:r>
          </w:p>
        </w:tc>
        <w:tc>
          <w:tcPr>
            <w:tcW w:w="2230" w:type="dxa"/>
          </w:tcPr>
          <w:p w:rsidR="005075A6" w:rsidRDefault="005075A6"/>
        </w:tc>
        <w:tc>
          <w:tcPr>
            <w:tcW w:w="2230" w:type="dxa"/>
          </w:tcPr>
          <w:p w:rsidR="005075A6" w:rsidRDefault="008C4ABC">
            <w:r>
              <w:t>Cost:</w:t>
            </w:r>
          </w:p>
          <w:p w:rsidR="008C4ABC" w:rsidRDefault="008C4ABC"/>
          <w:p w:rsidR="008C4ABC" w:rsidRDefault="002608B9" w:rsidP="00BD6CBC">
            <w:r>
              <w:t>£</w:t>
            </w:r>
            <w:r w:rsidR="00BD6CBC">
              <w:t>2, 000 (0.6%)</w:t>
            </w:r>
          </w:p>
        </w:tc>
      </w:tr>
      <w:tr w:rsidR="003D1FAF" w:rsidTr="005F5EA0">
        <w:tc>
          <w:tcPr>
            <w:tcW w:w="2478" w:type="dxa"/>
          </w:tcPr>
          <w:p w:rsidR="003D1FAF" w:rsidRDefault="001478B2">
            <w:r>
              <w:t>PP children have lower levels of oracy</w:t>
            </w:r>
          </w:p>
        </w:tc>
        <w:tc>
          <w:tcPr>
            <w:tcW w:w="2411" w:type="dxa"/>
          </w:tcPr>
          <w:p w:rsidR="003D1FAF" w:rsidRDefault="001478B2">
            <w:r>
              <w:t>Improve or act levels through implementation of Voice -21 strategies to develop grammar and articulation</w:t>
            </w:r>
          </w:p>
          <w:p w:rsidR="001478B2" w:rsidRDefault="001478B2">
            <w:r>
              <w:t>Staff to be provided with access to Voice -21 strategies</w:t>
            </w:r>
          </w:p>
          <w:p w:rsidR="001478B2" w:rsidRDefault="001478B2">
            <w:r>
              <w:t>Training to be delivered on how to effectively implement strategies in the classroom</w:t>
            </w:r>
          </w:p>
          <w:p w:rsidR="001478B2" w:rsidRDefault="001478B2">
            <w:r>
              <w:t>Use Oracy Framework Tookit</w:t>
            </w:r>
          </w:p>
          <w:p w:rsidR="00753339" w:rsidRDefault="00753339">
            <w:r>
              <w:t>RWI programme</w:t>
            </w:r>
          </w:p>
          <w:p w:rsidR="006374EB" w:rsidRDefault="006374EB">
            <w:r>
              <w:t>SALT interventions</w:t>
            </w:r>
            <w:r w:rsidR="006B44D6">
              <w:t xml:space="preserve"> and training for staff</w:t>
            </w:r>
          </w:p>
          <w:p w:rsidR="006B44D6" w:rsidRDefault="006B44D6">
            <w:r>
              <w:t xml:space="preserve">Speechlink programme </w:t>
            </w:r>
          </w:p>
          <w:p w:rsidR="00C504BA" w:rsidRDefault="00C504BA">
            <w:r>
              <w:t>TA allocation to every Reception Class</w:t>
            </w:r>
          </w:p>
          <w:p w:rsidR="006B44D6" w:rsidRDefault="006B44D6">
            <w:r>
              <w:t>Nuffield Early Language Pilot</w:t>
            </w:r>
          </w:p>
        </w:tc>
        <w:tc>
          <w:tcPr>
            <w:tcW w:w="2369" w:type="dxa"/>
          </w:tcPr>
          <w:p w:rsidR="00C504BA" w:rsidRDefault="00C504BA">
            <w:r>
              <w:t>Children arrive with a lower number of words compared to their peers. Research shows that this directly impacts their attainment through school.</w:t>
            </w:r>
          </w:p>
          <w:p w:rsidR="003D1FAF" w:rsidRDefault="00C504BA">
            <w:r>
              <w:t>TAs in Reception are delivering S &amp; L programmes to support oracy early in school.</w:t>
            </w:r>
          </w:p>
          <w:p w:rsidR="00E9433C" w:rsidRDefault="00E9433C">
            <w:r>
              <w:t xml:space="preserve">Speaking and Listening is a key indication of success in later life. </w:t>
            </w:r>
          </w:p>
        </w:tc>
        <w:tc>
          <w:tcPr>
            <w:tcW w:w="2230" w:type="dxa"/>
          </w:tcPr>
          <w:p w:rsidR="003D1FAF" w:rsidRDefault="004028A2">
            <w:r>
              <w:t xml:space="preserve">Monitored through learning walks and pupil voice. </w:t>
            </w:r>
          </w:p>
        </w:tc>
        <w:tc>
          <w:tcPr>
            <w:tcW w:w="2230" w:type="dxa"/>
          </w:tcPr>
          <w:p w:rsidR="003D1FAF" w:rsidRDefault="004028A2">
            <w:r>
              <w:t>SLT</w:t>
            </w:r>
            <w:r w:rsidR="00F03571">
              <w:t>/LT</w:t>
            </w:r>
          </w:p>
        </w:tc>
        <w:tc>
          <w:tcPr>
            <w:tcW w:w="2230" w:type="dxa"/>
          </w:tcPr>
          <w:p w:rsidR="003D1FAF" w:rsidRDefault="003B7C58">
            <w:r>
              <w:t>Cost:</w:t>
            </w:r>
          </w:p>
          <w:p w:rsidR="003B7C58" w:rsidRDefault="003B7C58"/>
          <w:p w:rsidR="003B7C58" w:rsidRDefault="003B7C58" w:rsidP="006B44D6">
            <w:r>
              <w:t>£</w:t>
            </w:r>
            <w:r w:rsidR="006B44D6">
              <w:t>2</w:t>
            </w:r>
            <w:r w:rsidR="00BD6F14">
              <w:t>3,</w:t>
            </w:r>
            <w:r w:rsidR="006B44D6">
              <w:t xml:space="preserve"> 000 (6%)</w:t>
            </w:r>
          </w:p>
        </w:tc>
      </w:tr>
      <w:tr w:rsidR="00FD21C2" w:rsidTr="005F5EA0">
        <w:tc>
          <w:tcPr>
            <w:tcW w:w="2478" w:type="dxa"/>
          </w:tcPr>
          <w:p w:rsidR="00FD21C2" w:rsidRDefault="00D232CB" w:rsidP="005E22D4">
            <w:r>
              <w:t xml:space="preserve">Attendance – PP attendance is </w:t>
            </w:r>
            <w:r w:rsidR="005E22D4">
              <w:t>94.58</w:t>
            </w:r>
            <w:r>
              <w:t xml:space="preserve"> which is below national </w:t>
            </w:r>
          </w:p>
        </w:tc>
        <w:tc>
          <w:tcPr>
            <w:tcW w:w="2411" w:type="dxa"/>
          </w:tcPr>
          <w:p w:rsidR="00D232CB" w:rsidRDefault="00D232CB">
            <w:r>
              <w:t>Use of the SOL programme to look at trends weekly, to follow up absence in a timely way, support families that are PA.</w:t>
            </w:r>
          </w:p>
          <w:p w:rsidR="00D232CB" w:rsidRDefault="00D232CB">
            <w:r>
              <w:t>Raise profile of the importance of attendance through assemblies and parent/carer workshops</w:t>
            </w:r>
          </w:p>
          <w:p w:rsidR="00D232CB" w:rsidRDefault="00D232CB">
            <w:r>
              <w:t>Information about illness and attendance shared with parent/carers</w:t>
            </w:r>
          </w:p>
          <w:p w:rsidR="00D232CB" w:rsidRDefault="00D232CB"/>
        </w:tc>
        <w:tc>
          <w:tcPr>
            <w:tcW w:w="2369" w:type="dxa"/>
          </w:tcPr>
          <w:p w:rsidR="00FD21C2" w:rsidRDefault="00D232CB">
            <w:r>
              <w:t xml:space="preserve">Attendance is </w:t>
            </w:r>
            <w:r w:rsidR="009229FA">
              <w:t>a key indicator for success in school and later in life. Early intervention is crucial to avoid poor patterns forming.</w:t>
            </w:r>
          </w:p>
        </w:tc>
        <w:tc>
          <w:tcPr>
            <w:tcW w:w="2230" w:type="dxa"/>
          </w:tcPr>
          <w:p w:rsidR="00FD21C2" w:rsidRDefault="009229FA">
            <w:r>
              <w:t>Tracking data weekly</w:t>
            </w:r>
          </w:p>
        </w:tc>
        <w:tc>
          <w:tcPr>
            <w:tcW w:w="2230" w:type="dxa"/>
          </w:tcPr>
          <w:p w:rsidR="00FD21C2" w:rsidRDefault="00101B1F">
            <w:r>
              <w:t>SLT</w:t>
            </w:r>
            <w:r w:rsidR="00F03571">
              <w:t>/LT</w:t>
            </w:r>
          </w:p>
        </w:tc>
        <w:tc>
          <w:tcPr>
            <w:tcW w:w="2230" w:type="dxa"/>
          </w:tcPr>
          <w:p w:rsidR="00FD21C2" w:rsidRDefault="000B3611">
            <w:r>
              <w:t>Cost: £3,500 (1%)</w:t>
            </w:r>
          </w:p>
        </w:tc>
      </w:tr>
      <w:tr w:rsidR="00FD21C2" w:rsidTr="005F5EA0">
        <w:tc>
          <w:tcPr>
            <w:tcW w:w="2478" w:type="dxa"/>
          </w:tcPr>
          <w:p w:rsidR="00FD21C2" w:rsidRDefault="00A4104F">
            <w:r>
              <w:t>Wellbeing</w:t>
            </w:r>
          </w:p>
          <w:p w:rsidR="00A4104F" w:rsidRDefault="00A4104F" w:rsidP="00A4104F">
            <w:pPr>
              <w:pStyle w:val="ListParagraph"/>
              <w:numPr>
                <w:ilvl w:val="0"/>
                <w:numId w:val="20"/>
              </w:numPr>
            </w:pPr>
            <w:r w:rsidRPr="00A4104F">
              <w:t>Negative attitudes at home &amp; school</w:t>
            </w:r>
          </w:p>
        </w:tc>
        <w:tc>
          <w:tcPr>
            <w:tcW w:w="2411" w:type="dxa"/>
          </w:tcPr>
          <w:p w:rsidR="00A4104F" w:rsidRDefault="00A4104F" w:rsidP="00A4104F">
            <w:r>
              <w:t xml:space="preserve">Learning mentor for targeted long term support </w:t>
            </w:r>
          </w:p>
          <w:p w:rsidR="00A4104F" w:rsidRDefault="00A4104F" w:rsidP="00A4104F">
            <w:r>
              <w:t>Thrive (including training 1 more practitioner)</w:t>
            </w:r>
          </w:p>
          <w:p w:rsidR="00A4104F" w:rsidRDefault="00A4104F" w:rsidP="00A4104F">
            <w:r>
              <w:t>Unique Voice</w:t>
            </w:r>
          </w:p>
          <w:p w:rsidR="00A4104F" w:rsidRDefault="00A4104F" w:rsidP="00A4104F">
            <w:r>
              <w:t>Holiday club</w:t>
            </w:r>
          </w:p>
          <w:p w:rsidR="00A4104F" w:rsidRDefault="00A4104F" w:rsidP="00A4104F">
            <w:r>
              <w:t>Breakfast club provision</w:t>
            </w:r>
          </w:p>
          <w:p w:rsidR="00A4104F" w:rsidRDefault="00A4104F" w:rsidP="00A4104F">
            <w:r>
              <w:t xml:space="preserve">Mindfulness  </w:t>
            </w:r>
          </w:p>
          <w:p w:rsidR="00A4104F" w:rsidRDefault="00A4104F" w:rsidP="00A4104F">
            <w:r>
              <w:t>Forest schools</w:t>
            </w:r>
          </w:p>
          <w:p w:rsidR="00C63410" w:rsidRDefault="00A4104F" w:rsidP="00A4104F">
            <w:r>
              <w:t>uniform</w:t>
            </w:r>
            <w:r w:rsidR="00C63410">
              <w:t xml:space="preserve"> </w:t>
            </w:r>
          </w:p>
          <w:p w:rsidR="00C63410" w:rsidRDefault="00C63410" w:rsidP="00C63410">
            <w:r>
              <w:t xml:space="preserve">Learning Mentor breakfast, targeted groups and drop in lunchtimes </w:t>
            </w:r>
          </w:p>
          <w:p w:rsidR="00C63410" w:rsidRDefault="00C63410" w:rsidP="00C63410">
            <w:r>
              <w:t>Nurturing group to start at LR</w:t>
            </w:r>
          </w:p>
          <w:p w:rsidR="00A4104F" w:rsidRDefault="00A4104F" w:rsidP="00A4104F"/>
        </w:tc>
        <w:tc>
          <w:tcPr>
            <w:tcW w:w="2369" w:type="dxa"/>
          </w:tcPr>
          <w:p w:rsidR="00A4104F" w:rsidRDefault="00A4104F" w:rsidP="00A4104F">
            <w:r w:rsidRPr="00A4104F">
              <w:t>Improving emotional and behavioural choices</w:t>
            </w:r>
          </w:p>
          <w:p w:rsidR="00A4104F" w:rsidRDefault="00A4104F" w:rsidP="00A4104F">
            <w:r>
              <w:t>We develop more positive attitudes to self and to learning in core groups or individuals</w:t>
            </w:r>
          </w:p>
          <w:p w:rsidR="00A4104F" w:rsidRDefault="00A4104F" w:rsidP="00A4104F">
            <w:r>
              <w:t xml:space="preserve">Reducing challenging behaviour  </w:t>
            </w:r>
          </w:p>
          <w:p w:rsidR="00A4104F" w:rsidRDefault="00A4104F" w:rsidP="00A4104F">
            <w:r>
              <w:t xml:space="preserve">Early intervention  </w:t>
            </w:r>
          </w:p>
          <w:p w:rsidR="00A4104F" w:rsidRDefault="005658B1" w:rsidP="00A4104F">
            <w:r>
              <w:t>Research shows that all of these will i</w:t>
            </w:r>
            <w:r w:rsidR="00A4104F">
              <w:t>ncrease engagement in learning</w:t>
            </w:r>
          </w:p>
          <w:p w:rsidR="00A4104F" w:rsidRDefault="00A4104F" w:rsidP="00C63410"/>
        </w:tc>
        <w:tc>
          <w:tcPr>
            <w:tcW w:w="2230" w:type="dxa"/>
          </w:tcPr>
          <w:p w:rsidR="00FD21C2" w:rsidRDefault="00A4104F">
            <w:r>
              <w:t>Thrive assessments</w:t>
            </w:r>
          </w:p>
          <w:p w:rsidR="00A4104F" w:rsidRDefault="00A4104F">
            <w:r>
              <w:t>Behaviour reports on SIMs</w:t>
            </w:r>
          </w:p>
          <w:p w:rsidR="00A4104F" w:rsidRDefault="00A4104F">
            <w:r>
              <w:t>CPOMs</w:t>
            </w:r>
          </w:p>
          <w:p w:rsidR="00C63410" w:rsidRDefault="00C63410">
            <w:r>
              <w:t>CPD</w:t>
            </w:r>
          </w:p>
          <w:p w:rsidR="00A4104F" w:rsidRDefault="00A4104F"/>
        </w:tc>
        <w:tc>
          <w:tcPr>
            <w:tcW w:w="2230" w:type="dxa"/>
          </w:tcPr>
          <w:p w:rsidR="00FD21C2" w:rsidRDefault="00F03571">
            <w:r>
              <w:t>Learning Mentor</w:t>
            </w:r>
          </w:p>
          <w:p w:rsidR="00F03571" w:rsidRDefault="00F03571">
            <w:r>
              <w:t>SLT/LT</w:t>
            </w:r>
          </w:p>
        </w:tc>
        <w:tc>
          <w:tcPr>
            <w:tcW w:w="2230" w:type="dxa"/>
          </w:tcPr>
          <w:p w:rsidR="00A4104F" w:rsidRDefault="00A4104F">
            <w:r>
              <w:t>Cost: 33 000</w:t>
            </w:r>
          </w:p>
          <w:p w:rsidR="00A4104F" w:rsidRDefault="00A4104F"/>
          <w:p w:rsidR="00A4104F" w:rsidRDefault="00A4104F">
            <w:r>
              <w:t>(9%)</w:t>
            </w:r>
          </w:p>
          <w:p w:rsidR="00A4104F" w:rsidRDefault="00A4104F" w:rsidP="00A4104F"/>
          <w:p w:rsidR="00FD21C2" w:rsidRPr="00A4104F" w:rsidRDefault="00FD21C2" w:rsidP="00A4104F"/>
        </w:tc>
      </w:tr>
      <w:tr w:rsidR="00BD6CBC" w:rsidTr="005F5EA0">
        <w:tc>
          <w:tcPr>
            <w:tcW w:w="2478" w:type="dxa"/>
          </w:tcPr>
          <w:p w:rsidR="00BD6CBC" w:rsidRDefault="00BD6CBC">
            <w:r>
              <w:t>Low engagement</w:t>
            </w:r>
            <w:r w:rsidR="000B6D14">
              <w:t xml:space="preserve"> and attainment</w:t>
            </w:r>
          </w:p>
        </w:tc>
        <w:tc>
          <w:tcPr>
            <w:tcW w:w="2411" w:type="dxa"/>
          </w:tcPr>
          <w:p w:rsidR="00BD6CBC" w:rsidRDefault="00BD6CBC" w:rsidP="00A4104F">
            <w:r>
              <w:t>In class support  to support teachers</w:t>
            </w:r>
          </w:p>
          <w:p w:rsidR="00BD6CBC" w:rsidRDefault="00BD6CBC" w:rsidP="00BD6CBC">
            <w:r>
              <w:t>TA/LSA dedicated to support learning and run interventions</w:t>
            </w:r>
          </w:p>
          <w:p w:rsidR="00BD6CBC" w:rsidRDefault="00BD6CBC" w:rsidP="00BD6CBC">
            <w:r>
              <w:t>In YR pupils make outstanding progress</w:t>
            </w:r>
          </w:p>
          <w:p w:rsidR="00BD6CBC" w:rsidRDefault="00BD6CBC" w:rsidP="00BD6CBC">
            <w:r>
              <w:t>Well managed adult resource by class teacher</w:t>
            </w:r>
          </w:p>
        </w:tc>
        <w:tc>
          <w:tcPr>
            <w:tcW w:w="2369" w:type="dxa"/>
          </w:tcPr>
          <w:p w:rsidR="00BD6CBC" w:rsidRPr="00A4104F" w:rsidRDefault="000B6D14" w:rsidP="00A4104F">
            <w:r>
              <w:t>Additional support and targeted, trained TAs have an impact on learning and attainments</w:t>
            </w:r>
          </w:p>
        </w:tc>
        <w:tc>
          <w:tcPr>
            <w:tcW w:w="2230" w:type="dxa"/>
          </w:tcPr>
          <w:p w:rsidR="00BD6CBC" w:rsidRDefault="00680960">
            <w:r>
              <w:t>CPD</w:t>
            </w:r>
          </w:p>
          <w:p w:rsidR="00680960" w:rsidRDefault="00680960">
            <w:r>
              <w:t>Learning Walks</w:t>
            </w:r>
          </w:p>
        </w:tc>
        <w:tc>
          <w:tcPr>
            <w:tcW w:w="2230" w:type="dxa"/>
          </w:tcPr>
          <w:p w:rsidR="00BD6CBC" w:rsidRDefault="00680960">
            <w:r>
              <w:t>SLT/LT</w:t>
            </w:r>
          </w:p>
          <w:p w:rsidR="00680960" w:rsidRDefault="00680960">
            <w:r>
              <w:t>HLTAs</w:t>
            </w:r>
          </w:p>
        </w:tc>
        <w:tc>
          <w:tcPr>
            <w:tcW w:w="2230" w:type="dxa"/>
          </w:tcPr>
          <w:p w:rsidR="000B6D14" w:rsidRPr="005D6FDD" w:rsidRDefault="000B6D14" w:rsidP="000B6D14">
            <w:pPr>
              <w:rPr>
                <w:rFonts w:ascii="Arial" w:hAnsi="Arial" w:cs="Arial"/>
                <w:sz w:val="20"/>
              </w:rPr>
            </w:pPr>
            <w:r>
              <w:t xml:space="preserve">Cost: </w:t>
            </w:r>
            <w:r>
              <w:rPr>
                <w:rFonts w:ascii="Arial" w:hAnsi="Arial" w:cs="Arial"/>
                <w:sz w:val="20"/>
              </w:rPr>
              <w:t xml:space="preserve">Contribution to </w:t>
            </w:r>
            <w:r w:rsidRPr="003F41B3">
              <w:rPr>
                <w:rFonts w:ascii="Arial" w:hAnsi="Arial" w:cs="Arial"/>
                <w:sz w:val="20"/>
              </w:rPr>
              <w:t>LSA</w:t>
            </w:r>
            <w:r w:rsidRPr="005D6FDD">
              <w:rPr>
                <w:rFonts w:ascii="Arial" w:hAnsi="Arial" w:cs="Arial"/>
                <w:sz w:val="20"/>
              </w:rPr>
              <w:t xml:space="preserve"> salaries across phases: </w:t>
            </w:r>
          </w:p>
          <w:p w:rsidR="00BD6CBC" w:rsidRDefault="000B6D14" w:rsidP="000B6D14">
            <w:r>
              <w:rPr>
                <w:rFonts w:ascii="Arial" w:hAnsi="Arial" w:cs="Arial"/>
                <w:sz w:val="20"/>
              </w:rPr>
              <w:t>£200,0</w:t>
            </w:r>
            <w:r w:rsidRPr="005D6FDD">
              <w:rPr>
                <w:rFonts w:ascii="Arial" w:hAnsi="Arial" w:cs="Arial"/>
                <w:sz w:val="20"/>
              </w:rPr>
              <w:t>00 (</w:t>
            </w:r>
            <w:r>
              <w:rPr>
                <w:rFonts w:ascii="Arial" w:hAnsi="Arial" w:cs="Arial"/>
                <w:sz w:val="20"/>
              </w:rPr>
              <w:t>56</w:t>
            </w:r>
            <w:r w:rsidRPr="003F41B3">
              <w:rPr>
                <w:rFonts w:ascii="Arial" w:hAnsi="Arial" w:cs="Arial"/>
                <w:sz w:val="20"/>
              </w:rPr>
              <w:t>%)</w:t>
            </w:r>
          </w:p>
        </w:tc>
      </w:tr>
      <w:tr w:rsidR="00957017" w:rsidTr="005F5EA0">
        <w:tc>
          <w:tcPr>
            <w:tcW w:w="2478" w:type="dxa"/>
          </w:tcPr>
          <w:p w:rsidR="00957017" w:rsidRDefault="00957017">
            <w:r>
              <w:t>Contingency</w:t>
            </w:r>
          </w:p>
        </w:tc>
        <w:tc>
          <w:tcPr>
            <w:tcW w:w="2411" w:type="dxa"/>
          </w:tcPr>
          <w:p w:rsidR="00957017" w:rsidRDefault="00957017" w:rsidP="00A4104F"/>
        </w:tc>
        <w:tc>
          <w:tcPr>
            <w:tcW w:w="2369" w:type="dxa"/>
          </w:tcPr>
          <w:p w:rsidR="00957017" w:rsidRDefault="00957017" w:rsidP="00A4104F"/>
        </w:tc>
        <w:tc>
          <w:tcPr>
            <w:tcW w:w="2230" w:type="dxa"/>
          </w:tcPr>
          <w:p w:rsidR="00957017" w:rsidRDefault="00957017"/>
        </w:tc>
        <w:tc>
          <w:tcPr>
            <w:tcW w:w="2230" w:type="dxa"/>
          </w:tcPr>
          <w:p w:rsidR="00957017" w:rsidRDefault="00957017"/>
        </w:tc>
        <w:tc>
          <w:tcPr>
            <w:tcW w:w="2230" w:type="dxa"/>
          </w:tcPr>
          <w:p w:rsidR="00957017" w:rsidRDefault="00E6606C" w:rsidP="000B6D14">
            <w:r>
              <w:t xml:space="preserve">Approx </w:t>
            </w:r>
            <w:r w:rsidR="00957017">
              <w:t>£2</w:t>
            </w:r>
            <w:r>
              <w:t>0</w:t>
            </w:r>
            <w:r w:rsidR="00957017">
              <w:t>,000</w:t>
            </w:r>
          </w:p>
        </w:tc>
      </w:tr>
      <w:tr w:rsidR="00957017" w:rsidTr="005F5EA0">
        <w:tc>
          <w:tcPr>
            <w:tcW w:w="2478" w:type="dxa"/>
          </w:tcPr>
          <w:p w:rsidR="00957017" w:rsidRDefault="00957017">
            <w:r>
              <w:t>Total</w:t>
            </w:r>
          </w:p>
        </w:tc>
        <w:tc>
          <w:tcPr>
            <w:tcW w:w="2411" w:type="dxa"/>
          </w:tcPr>
          <w:p w:rsidR="00957017" w:rsidRDefault="00957017" w:rsidP="00A4104F"/>
        </w:tc>
        <w:tc>
          <w:tcPr>
            <w:tcW w:w="2369" w:type="dxa"/>
          </w:tcPr>
          <w:p w:rsidR="00957017" w:rsidRDefault="00957017" w:rsidP="00A4104F"/>
        </w:tc>
        <w:tc>
          <w:tcPr>
            <w:tcW w:w="2230" w:type="dxa"/>
          </w:tcPr>
          <w:p w:rsidR="00957017" w:rsidRDefault="00957017"/>
        </w:tc>
        <w:tc>
          <w:tcPr>
            <w:tcW w:w="2230" w:type="dxa"/>
          </w:tcPr>
          <w:p w:rsidR="00957017" w:rsidRDefault="00957017"/>
        </w:tc>
        <w:tc>
          <w:tcPr>
            <w:tcW w:w="2230" w:type="dxa"/>
          </w:tcPr>
          <w:p w:rsidR="00957017" w:rsidRDefault="00957017" w:rsidP="000B6D14">
            <w:r>
              <w:t>£356, 400</w:t>
            </w:r>
          </w:p>
        </w:tc>
      </w:tr>
    </w:tbl>
    <w:p w:rsidR="00C74DF3" w:rsidRDefault="00C74DF3"/>
    <w:sectPr w:rsidR="00C74DF3" w:rsidSect="0076227A">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C2D" w:rsidRDefault="00567C2D" w:rsidP="007C7688">
      <w:pPr>
        <w:spacing w:after="0" w:line="240" w:lineRule="auto"/>
      </w:pPr>
      <w:r>
        <w:separator/>
      </w:r>
    </w:p>
  </w:endnote>
  <w:endnote w:type="continuationSeparator" w:id="0">
    <w:p w:rsidR="00567C2D" w:rsidRDefault="00567C2D" w:rsidP="007C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C2D" w:rsidRDefault="00567C2D" w:rsidP="007C7688">
      <w:pPr>
        <w:spacing w:after="0" w:line="240" w:lineRule="auto"/>
      </w:pPr>
      <w:r>
        <w:separator/>
      </w:r>
    </w:p>
  </w:footnote>
  <w:footnote w:type="continuationSeparator" w:id="0">
    <w:p w:rsidR="00567C2D" w:rsidRDefault="00567C2D" w:rsidP="007C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555368"/>
      <w:docPartObj>
        <w:docPartGallery w:val="Page Numbers (Top of Page)"/>
        <w:docPartUnique/>
      </w:docPartObj>
    </w:sdtPr>
    <w:sdtEndPr>
      <w:rPr>
        <w:noProof/>
      </w:rPr>
    </w:sdtEndPr>
    <w:sdtContent>
      <w:p w:rsidR="00DA1416" w:rsidRDefault="00DA1416">
        <w:pPr>
          <w:pStyle w:val="Header"/>
          <w:jc w:val="right"/>
        </w:pPr>
        <w:r>
          <w:fldChar w:fldCharType="begin"/>
        </w:r>
        <w:r>
          <w:instrText xml:space="preserve"> PAGE   \* MERGEFORMAT </w:instrText>
        </w:r>
        <w:r>
          <w:fldChar w:fldCharType="separate"/>
        </w:r>
        <w:r w:rsidR="00CF2AF5">
          <w:rPr>
            <w:noProof/>
          </w:rPr>
          <w:t>2</w:t>
        </w:r>
        <w:r>
          <w:rPr>
            <w:noProof/>
          </w:rPr>
          <w:fldChar w:fldCharType="end"/>
        </w:r>
      </w:p>
    </w:sdtContent>
  </w:sdt>
  <w:p w:rsidR="00DA1416" w:rsidRDefault="00DA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16" w:rsidRDefault="00DA1416" w:rsidP="00513515">
    <w:pPr>
      <w:pStyle w:val="Header"/>
    </w:pPr>
    <w:r>
      <w:rPr>
        <w:b/>
        <w:noProof/>
        <w:color w:val="FFFFFF" w:themeColor="background1"/>
        <w:szCs w:val="18"/>
        <w:lang w:val="en-US"/>
      </w:rPr>
      <w:drawing>
        <wp:anchor distT="0" distB="0" distL="114300" distR="114300" simplePos="0" relativeHeight="251661312" behindDoc="1" locked="0" layoutInCell="1" allowOverlap="1" wp14:anchorId="3A362099" wp14:editId="498D5CEE">
          <wp:simplePos x="0" y="0"/>
          <wp:positionH relativeFrom="margin">
            <wp:align>right</wp:align>
          </wp:positionH>
          <wp:positionV relativeFrom="paragraph">
            <wp:posOffset>-168414</wp:posOffset>
          </wp:positionV>
          <wp:extent cx="2655017" cy="644028"/>
          <wp:effectExtent l="0" t="0" r="0" b="3810"/>
          <wp:wrapNone/>
          <wp:docPr id="12" name="Picture 12" descr="C:\Users\sbm\Dropbox\Filton Avenue Primary School\Cre8ion\Logos\LOGO 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m\Dropbox\Filton Avenue Primary School\Cre8ion\Logos\LOGO A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017" cy="6440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A32">
      <w:rPr>
        <w:b/>
        <w:noProof/>
        <w:color w:val="FFFFFF" w:themeColor="background1"/>
        <w:sz w:val="40"/>
        <w:szCs w:val="40"/>
        <w:lang w:val="en-US"/>
      </w:rPr>
      <mc:AlternateContent>
        <mc:Choice Requires="wpg">
          <w:drawing>
            <wp:anchor distT="0" distB="0" distL="114300" distR="114300" simplePos="0" relativeHeight="251660288" behindDoc="1" locked="0" layoutInCell="1" allowOverlap="1" wp14:anchorId="4F32FE03" wp14:editId="724793FA">
              <wp:simplePos x="0" y="0"/>
              <wp:positionH relativeFrom="page">
                <wp:align>left</wp:align>
              </wp:positionH>
              <wp:positionV relativeFrom="paragraph">
                <wp:posOffset>-151637</wp:posOffset>
              </wp:positionV>
              <wp:extent cx="3967992" cy="609600"/>
              <wp:effectExtent l="0" t="0" r="0" b="0"/>
              <wp:wrapNone/>
              <wp:docPr id="4" name="Group 4"/>
              <wp:cNvGraphicFramePr/>
              <a:graphic xmlns:a="http://schemas.openxmlformats.org/drawingml/2006/main">
                <a:graphicData uri="http://schemas.microsoft.com/office/word/2010/wordprocessingGroup">
                  <wpg:wgp>
                    <wpg:cNvGrpSpPr/>
                    <wpg:grpSpPr>
                      <a:xfrm>
                        <a:off x="0" y="0"/>
                        <a:ext cx="3967992" cy="609600"/>
                        <a:chOff x="2866" y="0"/>
                        <a:chExt cx="4819673" cy="795580"/>
                      </a:xfrm>
                    </wpg:grpSpPr>
                    <wps:wsp>
                      <wps:cNvPr id="2" name="Rectangle 2"/>
                      <wps:cNvSpPr/>
                      <wps:spPr>
                        <a:xfrm>
                          <a:off x="2866" y="0"/>
                          <a:ext cx="586974" cy="795580"/>
                        </a:xfrm>
                        <a:prstGeom prst="rect">
                          <a:avLst/>
                        </a:prstGeom>
                        <a:solidFill>
                          <a:srgbClr val="24225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89798" y="0"/>
                          <a:ext cx="4232741" cy="795580"/>
                        </a:xfrm>
                        <a:prstGeom prst="rect">
                          <a:avLst/>
                        </a:prstGeom>
                        <a:solidFill>
                          <a:srgbClr val="50437B"/>
                        </a:solidFill>
                        <a:ln w="25400" cap="flat" cmpd="sng" algn="ctr">
                          <a:noFill/>
                          <a:prstDash val="solid"/>
                        </a:ln>
                        <a:effectLst/>
                      </wps:spPr>
                      <wps:txbx>
                        <w:txbxContent>
                          <w:p w:rsidR="00DA1416" w:rsidRPr="005D6FDD" w:rsidRDefault="00DA1416" w:rsidP="005D6FDD">
                            <w:pPr>
                              <w:rPr>
                                <w:rFonts w:ascii="Arial" w:hAnsi="Arial" w:cs="Arial"/>
                                <w:b/>
                                <w:sz w:val="32"/>
                              </w:rPr>
                            </w:pPr>
                            <w:r w:rsidRPr="005D6FDD">
                              <w:rPr>
                                <w:rFonts w:ascii="Arial" w:hAnsi="Arial" w:cs="Arial"/>
                                <w:b/>
                                <w:sz w:val="32"/>
                              </w:rPr>
                              <w:t>Pupil Premium Statement</w:t>
                            </w:r>
                          </w:p>
                          <w:p w:rsidR="00DA1416" w:rsidRPr="005D6FDD" w:rsidRDefault="00DA1416" w:rsidP="005D6FDD">
                            <w:pPr>
                              <w:rPr>
                                <w:rFonts w:ascii="Arial" w:hAnsi="Arial" w:cs="Arial"/>
                                <w:b/>
                                <w:sz w:val="20"/>
                              </w:rPr>
                            </w:pPr>
                            <w:r w:rsidRPr="005D6FDD">
                              <w:rPr>
                                <w:rFonts w:ascii="Arial" w:hAnsi="Arial" w:cs="Arial"/>
                                <w:b/>
                                <w:sz w:val="20"/>
                              </w:rPr>
                              <w:t>Raising achi</w:t>
                            </w:r>
                            <w:r>
                              <w:rPr>
                                <w:rFonts w:ascii="Arial" w:hAnsi="Arial" w:cs="Arial"/>
                                <w:b/>
                                <w:sz w:val="20"/>
                              </w:rPr>
                              <w:t>evement and Closing the Gap 2017-18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F32FE03" id="Group 4" o:spid="_x0000_s1026" style="position:absolute;margin-left:0;margin-top:-11.95pt;width:312.45pt;height:48pt;z-index:-251656192;mso-position-horizontal:left;mso-position-horizontal-relative:page;mso-width-relative:margin;mso-height-relative:margin" coordorigin="28" coordsize="48196,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">
              <v:rect id="Rectangle 2" o:spid="_x0000_s1027" style="position:absolute;left:28;width:5870;height:7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" fillcolor="#24225f" stroked="f" strokeweight="2pt"/>
              <v:rect id="Rectangle 3" o:spid="_x0000_s1028" style="position:absolute;left:5897;width:42328;height:7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" fillcolor="#50437b" stroked="f" strokeweight="2pt">
                <v:textbox>
                  <w:txbxContent>
                    <w:p w:rsidR="00DA1416" w:rsidRPr="005D6FDD" w:rsidRDefault="00DA1416" w:rsidP="005D6FDD">
                      <w:pPr>
                        <w:rPr>
                          <w:rFonts w:ascii="Arial" w:hAnsi="Arial" w:cs="Arial"/>
                          <w:b/>
                          <w:sz w:val="32"/>
                        </w:rPr>
                      </w:pPr>
                      <w:r w:rsidRPr="005D6FDD">
                        <w:rPr>
                          <w:rFonts w:ascii="Arial" w:hAnsi="Arial" w:cs="Arial"/>
                          <w:b/>
                          <w:sz w:val="32"/>
                        </w:rPr>
                        <w:t>Pupil Premium Statement</w:t>
                      </w:r>
                    </w:p>
                    <w:p w:rsidR="00DA1416" w:rsidRPr="005D6FDD" w:rsidRDefault="00DA1416" w:rsidP="005D6FDD">
                      <w:pPr>
                        <w:rPr>
                          <w:rFonts w:ascii="Arial" w:hAnsi="Arial" w:cs="Arial"/>
                          <w:b/>
                          <w:sz w:val="20"/>
                        </w:rPr>
                      </w:pPr>
                      <w:r w:rsidRPr="005D6FDD">
                        <w:rPr>
                          <w:rFonts w:ascii="Arial" w:hAnsi="Arial" w:cs="Arial"/>
                          <w:b/>
                          <w:sz w:val="20"/>
                        </w:rPr>
                        <w:t>Raising achi</w:t>
                      </w:r>
                      <w:r>
                        <w:rPr>
                          <w:rFonts w:ascii="Arial" w:hAnsi="Arial" w:cs="Arial"/>
                          <w:b/>
                          <w:sz w:val="20"/>
                        </w:rPr>
                        <w:t>evement and Closing the Gap 2017-18</w:t>
                      </w:r>
                    </w:p>
                  </w:txbxContent>
                </v:textbox>
              </v:rect>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16" w:rsidRDefault="00DA1416" w:rsidP="00DA1416">
    <w:pPr>
      <w:pStyle w:val="Header"/>
      <w:tabs>
        <w:tab w:val="clear" w:pos="4513"/>
        <w:tab w:val="clear" w:pos="9026"/>
        <w:tab w:val="left" w:pos="4035"/>
      </w:tabs>
      <w:jc w:val="both"/>
    </w:pPr>
    <w:r>
      <w:rPr>
        <w:noProof/>
        <w:lang w:val="en-US"/>
      </w:rPr>
      <w:drawing>
        <wp:anchor distT="0" distB="0" distL="114300" distR="114300" simplePos="0" relativeHeight="251658240" behindDoc="0" locked="0" layoutInCell="1" allowOverlap="1">
          <wp:simplePos x="0" y="0"/>
          <wp:positionH relativeFrom="column">
            <wp:posOffset>6553200</wp:posOffset>
          </wp:positionH>
          <wp:positionV relativeFrom="paragraph">
            <wp:posOffset>-116205</wp:posOffset>
          </wp:positionV>
          <wp:extent cx="2658110" cy="640080"/>
          <wp:effectExtent l="0" t="0" r="889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0B8E32B" wp14:editId="6FEFBF4F">
          <wp:extent cx="3975100" cy="6096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0" cy="60960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528"/>
    <w:multiLevelType w:val="hybridMultilevel"/>
    <w:tmpl w:val="FF4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96BA1"/>
    <w:multiLevelType w:val="hybridMultilevel"/>
    <w:tmpl w:val="6DF23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90DD1"/>
    <w:multiLevelType w:val="hybridMultilevel"/>
    <w:tmpl w:val="98ACA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94977"/>
    <w:multiLevelType w:val="hybridMultilevel"/>
    <w:tmpl w:val="D8DC0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A3D17"/>
    <w:multiLevelType w:val="hybridMultilevel"/>
    <w:tmpl w:val="953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F341F"/>
    <w:multiLevelType w:val="hybridMultilevel"/>
    <w:tmpl w:val="940C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12A4A"/>
    <w:multiLevelType w:val="hybridMultilevel"/>
    <w:tmpl w:val="87CAF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D5601"/>
    <w:multiLevelType w:val="hybridMultilevel"/>
    <w:tmpl w:val="CC242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C6547"/>
    <w:multiLevelType w:val="hybridMultilevel"/>
    <w:tmpl w:val="725468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44E81"/>
    <w:multiLevelType w:val="hybridMultilevel"/>
    <w:tmpl w:val="C4322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26607"/>
    <w:multiLevelType w:val="hybridMultilevel"/>
    <w:tmpl w:val="2952A6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F4889"/>
    <w:multiLevelType w:val="hybridMultilevel"/>
    <w:tmpl w:val="A1EC5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955E70"/>
    <w:multiLevelType w:val="hybridMultilevel"/>
    <w:tmpl w:val="4D86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4579B7"/>
    <w:multiLevelType w:val="hybridMultilevel"/>
    <w:tmpl w:val="73E20DA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33890"/>
    <w:multiLevelType w:val="hybridMultilevel"/>
    <w:tmpl w:val="69627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BE761A"/>
    <w:multiLevelType w:val="hybridMultilevel"/>
    <w:tmpl w:val="4394FD44"/>
    <w:lvl w:ilvl="0" w:tplc="B0C296F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509BB"/>
    <w:multiLevelType w:val="hybridMultilevel"/>
    <w:tmpl w:val="34981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8D1D7C"/>
    <w:multiLevelType w:val="hybridMultilevel"/>
    <w:tmpl w:val="BC4ADD88"/>
    <w:lvl w:ilvl="0" w:tplc="B030B3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1B3D01"/>
    <w:multiLevelType w:val="hybridMultilevel"/>
    <w:tmpl w:val="2174A20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26D1B"/>
    <w:multiLevelType w:val="hybridMultilevel"/>
    <w:tmpl w:val="E86E4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18"/>
  </w:num>
  <w:num w:numId="5">
    <w:abstractNumId w:val="13"/>
  </w:num>
  <w:num w:numId="6">
    <w:abstractNumId w:val="14"/>
  </w:num>
  <w:num w:numId="7">
    <w:abstractNumId w:val="11"/>
  </w:num>
  <w:num w:numId="8">
    <w:abstractNumId w:val="2"/>
  </w:num>
  <w:num w:numId="9">
    <w:abstractNumId w:val="7"/>
  </w:num>
  <w:num w:numId="10">
    <w:abstractNumId w:val="5"/>
  </w:num>
  <w:num w:numId="11">
    <w:abstractNumId w:val="6"/>
  </w:num>
  <w:num w:numId="12">
    <w:abstractNumId w:val="0"/>
  </w:num>
  <w:num w:numId="13">
    <w:abstractNumId w:val="12"/>
  </w:num>
  <w:num w:numId="14">
    <w:abstractNumId w:val="19"/>
  </w:num>
  <w:num w:numId="15">
    <w:abstractNumId w:val="16"/>
  </w:num>
  <w:num w:numId="16">
    <w:abstractNumId w:val="9"/>
  </w:num>
  <w:num w:numId="17">
    <w:abstractNumId w:val="8"/>
  </w:num>
  <w:num w:numId="18">
    <w:abstractNumId w:val="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7A"/>
    <w:rsid w:val="0001088C"/>
    <w:rsid w:val="0001207A"/>
    <w:rsid w:val="00034CCE"/>
    <w:rsid w:val="000409C9"/>
    <w:rsid w:val="00095F39"/>
    <w:rsid w:val="00097B23"/>
    <w:rsid w:val="000B3611"/>
    <w:rsid w:val="000B6D14"/>
    <w:rsid w:val="000C7577"/>
    <w:rsid w:val="000D7133"/>
    <w:rsid w:val="00101B1F"/>
    <w:rsid w:val="00116171"/>
    <w:rsid w:val="001226B3"/>
    <w:rsid w:val="0013192F"/>
    <w:rsid w:val="00135B99"/>
    <w:rsid w:val="001478B2"/>
    <w:rsid w:val="00163375"/>
    <w:rsid w:val="00185C87"/>
    <w:rsid w:val="001A1AC8"/>
    <w:rsid w:val="001D522E"/>
    <w:rsid w:val="001E2698"/>
    <w:rsid w:val="001F2859"/>
    <w:rsid w:val="00200712"/>
    <w:rsid w:val="0020634D"/>
    <w:rsid w:val="00215409"/>
    <w:rsid w:val="0022033F"/>
    <w:rsid w:val="002608B9"/>
    <w:rsid w:val="0026197B"/>
    <w:rsid w:val="0028268D"/>
    <w:rsid w:val="002932DC"/>
    <w:rsid w:val="002B3F82"/>
    <w:rsid w:val="002B54AC"/>
    <w:rsid w:val="002C401D"/>
    <w:rsid w:val="002D0D1B"/>
    <w:rsid w:val="00364DCE"/>
    <w:rsid w:val="00375F20"/>
    <w:rsid w:val="0038445C"/>
    <w:rsid w:val="0039314F"/>
    <w:rsid w:val="003B728D"/>
    <w:rsid w:val="003B7C58"/>
    <w:rsid w:val="003C24B2"/>
    <w:rsid w:val="003D1FAF"/>
    <w:rsid w:val="003D406F"/>
    <w:rsid w:val="003E238B"/>
    <w:rsid w:val="003E2B14"/>
    <w:rsid w:val="003E4915"/>
    <w:rsid w:val="003F4C1B"/>
    <w:rsid w:val="00400B6C"/>
    <w:rsid w:val="004028A2"/>
    <w:rsid w:val="004074F9"/>
    <w:rsid w:val="004109F5"/>
    <w:rsid w:val="004318C1"/>
    <w:rsid w:val="00434F93"/>
    <w:rsid w:val="004522F2"/>
    <w:rsid w:val="00482917"/>
    <w:rsid w:val="004847C1"/>
    <w:rsid w:val="004A7293"/>
    <w:rsid w:val="004B3EAE"/>
    <w:rsid w:val="004E0AE7"/>
    <w:rsid w:val="004E14EA"/>
    <w:rsid w:val="005075A6"/>
    <w:rsid w:val="00530E34"/>
    <w:rsid w:val="005658B1"/>
    <w:rsid w:val="00567C2D"/>
    <w:rsid w:val="00582280"/>
    <w:rsid w:val="005A45A8"/>
    <w:rsid w:val="005D51AE"/>
    <w:rsid w:val="005D569A"/>
    <w:rsid w:val="005D706F"/>
    <w:rsid w:val="005E22D4"/>
    <w:rsid w:val="005E5607"/>
    <w:rsid w:val="005F06A8"/>
    <w:rsid w:val="005F5EA0"/>
    <w:rsid w:val="00600903"/>
    <w:rsid w:val="0062359A"/>
    <w:rsid w:val="006374EB"/>
    <w:rsid w:val="00673AED"/>
    <w:rsid w:val="00680960"/>
    <w:rsid w:val="00691FAE"/>
    <w:rsid w:val="006A085A"/>
    <w:rsid w:val="006A115A"/>
    <w:rsid w:val="006B44D6"/>
    <w:rsid w:val="006B6619"/>
    <w:rsid w:val="006D4530"/>
    <w:rsid w:val="00712DC1"/>
    <w:rsid w:val="00727312"/>
    <w:rsid w:val="00731E9D"/>
    <w:rsid w:val="007475CF"/>
    <w:rsid w:val="007518B6"/>
    <w:rsid w:val="00753339"/>
    <w:rsid w:val="00756DF6"/>
    <w:rsid w:val="0076227A"/>
    <w:rsid w:val="00774257"/>
    <w:rsid w:val="00775BAD"/>
    <w:rsid w:val="007B722C"/>
    <w:rsid w:val="007C7688"/>
    <w:rsid w:val="0081662B"/>
    <w:rsid w:val="00832CE0"/>
    <w:rsid w:val="008621A1"/>
    <w:rsid w:val="0087422D"/>
    <w:rsid w:val="008A79B3"/>
    <w:rsid w:val="008B0497"/>
    <w:rsid w:val="008B053B"/>
    <w:rsid w:val="008C0CDF"/>
    <w:rsid w:val="008C4ABC"/>
    <w:rsid w:val="008D4D06"/>
    <w:rsid w:val="008F7AA7"/>
    <w:rsid w:val="009024E2"/>
    <w:rsid w:val="00907C3D"/>
    <w:rsid w:val="009109A9"/>
    <w:rsid w:val="009229FA"/>
    <w:rsid w:val="009237F1"/>
    <w:rsid w:val="00957017"/>
    <w:rsid w:val="009E2469"/>
    <w:rsid w:val="009E4FFF"/>
    <w:rsid w:val="00A050AB"/>
    <w:rsid w:val="00A11218"/>
    <w:rsid w:val="00A24608"/>
    <w:rsid w:val="00A25957"/>
    <w:rsid w:val="00A2597C"/>
    <w:rsid w:val="00A33943"/>
    <w:rsid w:val="00A3680B"/>
    <w:rsid w:val="00A4104F"/>
    <w:rsid w:val="00AC3195"/>
    <w:rsid w:val="00AD66A1"/>
    <w:rsid w:val="00AE7C83"/>
    <w:rsid w:val="00AF72E7"/>
    <w:rsid w:val="00B03C2D"/>
    <w:rsid w:val="00B04B48"/>
    <w:rsid w:val="00B04F84"/>
    <w:rsid w:val="00B060A8"/>
    <w:rsid w:val="00B13CEB"/>
    <w:rsid w:val="00B32BFA"/>
    <w:rsid w:val="00B65A58"/>
    <w:rsid w:val="00B66B67"/>
    <w:rsid w:val="00BB00C0"/>
    <w:rsid w:val="00BB293E"/>
    <w:rsid w:val="00BB5CA8"/>
    <w:rsid w:val="00BC2350"/>
    <w:rsid w:val="00BD0109"/>
    <w:rsid w:val="00BD3302"/>
    <w:rsid w:val="00BD6CBC"/>
    <w:rsid w:val="00BD6F14"/>
    <w:rsid w:val="00C0078A"/>
    <w:rsid w:val="00C0463F"/>
    <w:rsid w:val="00C10E19"/>
    <w:rsid w:val="00C13194"/>
    <w:rsid w:val="00C219D2"/>
    <w:rsid w:val="00C2488A"/>
    <w:rsid w:val="00C504BA"/>
    <w:rsid w:val="00C5358A"/>
    <w:rsid w:val="00C63410"/>
    <w:rsid w:val="00C74DF3"/>
    <w:rsid w:val="00C9131E"/>
    <w:rsid w:val="00CA4AB2"/>
    <w:rsid w:val="00CC0BE5"/>
    <w:rsid w:val="00CD1687"/>
    <w:rsid w:val="00CD7E20"/>
    <w:rsid w:val="00CE0B66"/>
    <w:rsid w:val="00CF2AF5"/>
    <w:rsid w:val="00D02273"/>
    <w:rsid w:val="00D135C9"/>
    <w:rsid w:val="00D232CB"/>
    <w:rsid w:val="00D30458"/>
    <w:rsid w:val="00D64856"/>
    <w:rsid w:val="00D87124"/>
    <w:rsid w:val="00D93804"/>
    <w:rsid w:val="00DA1416"/>
    <w:rsid w:val="00DA3466"/>
    <w:rsid w:val="00DA6511"/>
    <w:rsid w:val="00DD0AD4"/>
    <w:rsid w:val="00DD1D57"/>
    <w:rsid w:val="00DF468F"/>
    <w:rsid w:val="00E30933"/>
    <w:rsid w:val="00E43FB7"/>
    <w:rsid w:val="00E4674C"/>
    <w:rsid w:val="00E6606C"/>
    <w:rsid w:val="00E9433C"/>
    <w:rsid w:val="00EC4168"/>
    <w:rsid w:val="00EE1A33"/>
    <w:rsid w:val="00EF487C"/>
    <w:rsid w:val="00F03571"/>
    <w:rsid w:val="00F0756C"/>
    <w:rsid w:val="00F230D0"/>
    <w:rsid w:val="00F744D2"/>
    <w:rsid w:val="00F810BA"/>
    <w:rsid w:val="00F87533"/>
    <w:rsid w:val="00FB6589"/>
    <w:rsid w:val="00FB77EC"/>
    <w:rsid w:val="00FB785A"/>
    <w:rsid w:val="00FD1774"/>
    <w:rsid w:val="00FD21C2"/>
    <w:rsid w:val="00FE1D64"/>
    <w:rsid w:val="00FF2912"/>
    <w:rsid w:val="00FF2F32"/>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871628-FF24-43CB-B0A9-290ACDAE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27A"/>
    <w:pPr>
      <w:ind w:left="720"/>
      <w:contextualSpacing/>
    </w:pPr>
  </w:style>
  <w:style w:type="paragraph" w:styleId="BalloonText">
    <w:name w:val="Balloon Text"/>
    <w:basedOn w:val="Normal"/>
    <w:link w:val="BalloonTextChar"/>
    <w:uiPriority w:val="99"/>
    <w:semiHidden/>
    <w:unhideWhenUsed/>
    <w:rsid w:val="00A2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57"/>
    <w:rPr>
      <w:rFonts w:ascii="Segoe UI" w:hAnsi="Segoe UI" w:cs="Segoe UI"/>
      <w:sz w:val="18"/>
      <w:szCs w:val="18"/>
    </w:rPr>
  </w:style>
  <w:style w:type="paragraph" w:styleId="Header">
    <w:name w:val="header"/>
    <w:basedOn w:val="Normal"/>
    <w:link w:val="HeaderChar"/>
    <w:uiPriority w:val="99"/>
    <w:unhideWhenUsed/>
    <w:rsid w:val="007C7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88"/>
  </w:style>
  <w:style w:type="paragraph" w:styleId="Footer">
    <w:name w:val="footer"/>
    <w:basedOn w:val="Normal"/>
    <w:link w:val="FooterChar"/>
    <w:uiPriority w:val="99"/>
    <w:unhideWhenUsed/>
    <w:rsid w:val="007C7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88"/>
  </w:style>
  <w:style w:type="table" w:customStyle="1" w:styleId="TableGrid1">
    <w:name w:val="Table Grid1"/>
    <w:basedOn w:val="TableNormal"/>
    <w:next w:val="TableGrid"/>
    <w:uiPriority w:val="59"/>
    <w:rsid w:val="00DA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0164">
      <w:bodyDiv w:val="1"/>
      <w:marLeft w:val="0"/>
      <w:marRight w:val="0"/>
      <w:marTop w:val="0"/>
      <w:marBottom w:val="0"/>
      <w:divBdr>
        <w:top w:val="none" w:sz="0" w:space="0" w:color="auto"/>
        <w:left w:val="none" w:sz="0" w:space="0" w:color="auto"/>
        <w:bottom w:val="none" w:sz="0" w:space="0" w:color="auto"/>
        <w:right w:val="none" w:sz="0" w:space="0" w:color="auto"/>
      </w:divBdr>
    </w:div>
    <w:div w:id="1124884496">
      <w:bodyDiv w:val="1"/>
      <w:marLeft w:val="0"/>
      <w:marRight w:val="0"/>
      <w:marTop w:val="0"/>
      <w:marBottom w:val="0"/>
      <w:divBdr>
        <w:top w:val="none" w:sz="0" w:space="0" w:color="auto"/>
        <w:left w:val="none" w:sz="0" w:space="0" w:color="auto"/>
        <w:bottom w:val="none" w:sz="0" w:space="0" w:color="auto"/>
        <w:right w:val="none" w:sz="0" w:space="0" w:color="auto"/>
      </w:divBdr>
    </w:div>
    <w:div w:id="1557084218">
      <w:bodyDiv w:val="1"/>
      <w:marLeft w:val="0"/>
      <w:marRight w:val="0"/>
      <w:marTop w:val="0"/>
      <w:marBottom w:val="0"/>
      <w:divBdr>
        <w:top w:val="none" w:sz="0" w:space="0" w:color="auto"/>
        <w:left w:val="none" w:sz="0" w:space="0" w:color="auto"/>
        <w:bottom w:val="none" w:sz="0" w:space="0" w:color="auto"/>
        <w:right w:val="none" w:sz="0" w:space="0" w:color="auto"/>
      </w:divBdr>
    </w:div>
    <w:div w:id="15622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Komilla Marwaha</dc:creator>
  <cp:keywords/>
  <dc:description/>
  <cp:lastModifiedBy>SBM</cp:lastModifiedBy>
  <cp:revision>2</cp:revision>
  <cp:lastPrinted>2018-05-23T09:18:00Z</cp:lastPrinted>
  <dcterms:created xsi:type="dcterms:W3CDTF">2018-05-23T09:57:00Z</dcterms:created>
  <dcterms:modified xsi:type="dcterms:W3CDTF">2018-05-23T09:57:00Z</dcterms:modified>
</cp:coreProperties>
</file>